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9C6D2" w14:textId="38331A8A" w:rsidR="00524097" w:rsidRPr="00947CD8" w:rsidRDefault="009218F4" w:rsidP="006F7849">
      <w:pPr>
        <w:jc w:val="both"/>
        <w:rPr>
          <w:b/>
          <w:bCs/>
          <w:sz w:val="28"/>
          <w:szCs w:val="28"/>
        </w:rPr>
      </w:pPr>
      <w:r w:rsidRPr="00947CD8">
        <w:rPr>
          <w:b/>
          <w:bCs/>
          <w:sz w:val="28"/>
          <w:szCs w:val="28"/>
        </w:rPr>
        <w:t>Introduction</w:t>
      </w:r>
    </w:p>
    <w:p w14:paraId="657C39BB" w14:textId="03FE448C" w:rsidR="00102775" w:rsidRPr="000369BA" w:rsidRDefault="00102775" w:rsidP="006F7849">
      <w:pPr>
        <w:jc w:val="both"/>
      </w:pPr>
      <w:r>
        <w:t>by Ashley Squires</w:t>
      </w:r>
    </w:p>
    <w:p w14:paraId="30682A92" w14:textId="77777777" w:rsidR="00CB314E" w:rsidRDefault="009218F4" w:rsidP="006F7849">
      <w:pPr>
        <w:jc w:val="both"/>
      </w:pPr>
      <w:r>
        <w:tab/>
        <w:t xml:space="preserve">Russia is a place where subway stops, major roads, and city squares are named after writers. Particularly in Moscow and St. Petersburg, you can scarcely take a step without walking into some scene from literary history. </w:t>
      </w:r>
      <w:r w:rsidR="007B52EB">
        <w:t>One of my favorite pedestrian routes</w:t>
      </w:r>
      <w:r>
        <w:t xml:space="preserve"> in the capital takes me past Pushkin Square</w:t>
      </w:r>
      <w:r w:rsidR="002E05B0">
        <w:t xml:space="preserve">, </w:t>
      </w:r>
      <w:r>
        <w:t xml:space="preserve">a metro station named for Chekhov, a monument to the poet </w:t>
      </w:r>
      <w:r w:rsidR="00947CD8">
        <w:t>Sergey</w:t>
      </w:r>
      <w:r>
        <w:t xml:space="preserve"> Yesenin, and the park where the devil arrives on Earth in the opening incident of </w:t>
      </w:r>
      <w:proofErr w:type="spellStart"/>
      <w:r>
        <w:t>Bulgakov’s</w:t>
      </w:r>
      <w:proofErr w:type="spellEnd"/>
      <w:r>
        <w:t xml:space="preserve"> </w:t>
      </w:r>
      <w:r>
        <w:rPr>
          <w:i/>
          <w:iCs/>
        </w:rPr>
        <w:t>Master and Margarita</w:t>
      </w:r>
      <w:r>
        <w:t xml:space="preserve"> (a sign is posted reminding visitors not to talk to strangers). </w:t>
      </w:r>
    </w:p>
    <w:p w14:paraId="02669BEF" w14:textId="369178E1" w:rsidR="00102775" w:rsidRDefault="002E05B0" w:rsidP="00CB314E">
      <w:pPr>
        <w:ind w:firstLine="720"/>
        <w:jc w:val="both"/>
      </w:pPr>
      <w:r>
        <w:t xml:space="preserve">Perhaps it is at least partly due to the richness of this literary heritage that </w:t>
      </w:r>
      <w:r>
        <w:rPr>
          <w:i/>
          <w:iCs/>
        </w:rPr>
        <w:t xml:space="preserve">academic </w:t>
      </w:r>
      <w:r>
        <w:t xml:space="preserve">writing has only lately become part of the conversation about the future of Russian higher education. </w:t>
      </w:r>
      <w:r w:rsidR="00102775">
        <w:t>As will be evident in the chapters in this volume, i</w:t>
      </w:r>
      <w:r w:rsidR="0037534B">
        <w:t>t is</w:t>
      </w:r>
      <w:r w:rsidR="008D1CB6">
        <w:t xml:space="preserve"> still</w:t>
      </w:r>
      <w:r w:rsidR="0037534B">
        <w:t xml:space="preserve"> not remotely uncommon to encounter the attitude </w:t>
      </w:r>
      <w:r w:rsidR="007B52EB">
        <w:t xml:space="preserve">– dissonant in the land of Tolstoy and Akhmatova – </w:t>
      </w:r>
      <w:r w:rsidR="0037534B">
        <w:t xml:space="preserve">that Russian scholars and students </w:t>
      </w:r>
      <w:r w:rsidR="00CB314E">
        <w:t>need help with writing</w:t>
      </w:r>
      <w:r w:rsidR="0037534B">
        <w:t xml:space="preserve">. What is meant, of course, is that </w:t>
      </w:r>
      <w:r w:rsidR="00CB314E">
        <w:t>Russian academics need to increase the volume of</w:t>
      </w:r>
      <w:r w:rsidR="0037534B">
        <w:t xml:space="preserve"> research published in highly ranked international</w:t>
      </w:r>
      <w:r w:rsidR="00102775">
        <w:t xml:space="preserve"> (and usually Anglophone)</w:t>
      </w:r>
      <w:r w:rsidR="0037534B">
        <w:t xml:space="preserve"> journals </w:t>
      </w:r>
      <w:r w:rsidR="00A97BB2">
        <w:t xml:space="preserve">and that university instructors – like their counterparts </w:t>
      </w:r>
      <w:r w:rsidR="006F7849">
        <w:t>worldwide</w:t>
      </w:r>
      <w:r w:rsidR="00A97BB2">
        <w:t xml:space="preserve"> – are frustrated with the quality of student writing</w:t>
      </w:r>
      <w:r w:rsidR="0037534B">
        <w:t xml:space="preserve">. </w:t>
      </w:r>
      <w:r w:rsidR="00102775">
        <w:t>The reasons offered are many: the accretion of habits from the Soviet period in which Russian scholars were largely isolated from the global academic community (see Chapter 1 and Chapter 3), even older pedagogical tradition</w:t>
      </w:r>
      <w:r w:rsidR="007B52EB">
        <w:t>s</w:t>
      </w:r>
      <w:r w:rsidR="00102775">
        <w:t xml:space="preserve"> in which Russian writing – as in the Anglosphere – was </w:t>
      </w:r>
      <w:r w:rsidR="00380C22">
        <w:t>closely linked with the study of literature</w:t>
      </w:r>
      <w:r w:rsidR="00102775">
        <w:t xml:space="preserve"> </w:t>
      </w:r>
      <w:r w:rsidR="007B52EB">
        <w:t>and neglected other modes of communication (see Chapter 2 and Chapter 11)</w:t>
      </w:r>
      <w:r w:rsidR="00102775">
        <w:t xml:space="preserve">, lack of familiarity with the lingua franca of international education and scholarly publishing </w:t>
      </w:r>
      <w:r w:rsidR="007B52EB">
        <w:t xml:space="preserve">(English) </w:t>
      </w:r>
      <w:r w:rsidR="00102775">
        <w:t>and internationally accepted rhetorical norms (see Chapter 1, Chapter 3, Chapter 4, and Chapter 8), structural problems in the Russian education system with its newfound emphasis on testing (</w:t>
      </w:r>
      <w:r w:rsidR="00380C22">
        <w:t xml:space="preserve">see </w:t>
      </w:r>
      <w:r w:rsidR="00102775">
        <w:t>Chapter 10)</w:t>
      </w:r>
      <w:r w:rsidR="00380C22">
        <w:t>, and straightforward lack of resources (see Chapter 4).</w:t>
      </w:r>
      <w:r w:rsidR="00102775">
        <w:t xml:space="preserve"> </w:t>
      </w:r>
    </w:p>
    <w:p w14:paraId="423A8832" w14:textId="30CE3E55" w:rsidR="00C21E52" w:rsidRDefault="00CB314E" w:rsidP="00102775">
      <w:pPr>
        <w:ind w:firstLine="720"/>
        <w:jc w:val="both"/>
      </w:pPr>
      <w:r>
        <w:t>Efforts to address</w:t>
      </w:r>
      <w:r w:rsidR="00102775">
        <w:t xml:space="preserve"> academic writing in Russia have</w:t>
      </w:r>
      <w:r w:rsidR="006F7849">
        <w:t xml:space="preserve"> become particularly </w:t>
      </w:r>
      <w:r>
        <w:t>urgent</w:t>
      </w:r>
      <w:r w:rsidR="006F7849">
        <w:t xml:space="preserve"> in the context of </w:t>
      </w:r>
      <w:r w:rsidR="00102775">
        <w:t xml:space="preserve">state </w:t>
      </w:r>
      <w:r w:rsidR="006F7849">
        <w:t xml:space="preserve">efforts to converge with </w:t>
      </w:r>
      <w:r w:rsidR="003B665C">
        <w:t>international education standards</w:t>
      </w:r>
      <w:r w:rsidR="006F7849">
        <w:t xml:space="preserve">. In 2003, Russia entered the Bologna Process, a multi-national European agreement to align higher education systems to ensure academic mobility for faculty and students. Then in 2013, the </w:t>
      </w:r>
      <w:r w:rsidR="007B52EB">
        <w:t xml:space="preserve">Russian </w:t>
      </w:r>
      <w:r w:rsidR="006F7849">
        <w:t>Ministry of Education initiated Project 5-100, an effort to launch five Russian universities into the top</w:t>
      </w:r>
      <w:r w:rsidR="003B665C">
        <w:t xml:space="preserve"> </w:t>
      </w:r>
      <w:r w:rsidR="006F7849">
        <w:t>100 of major international university rankings. This program included substantial funding for incentives for faculty who publish in international journals</w:t>
      </w:r>
      <w:r w:rsidR="003B665C">
        <w:t xml:space="preserve"> and for support services to help them do so</w:t>
      </w:r>
      <w:r w:rsidR="006F7849">
        <w:t xml:space="preserve">. </w:t>
      </w:r>
    </w:p>
    <w:p w14:paraId="3533C220" w14:textId="11153576" w:rsidR="007B52EB" w:rsidRDefault="006F7849" w:rsidP="007B52EB">
      <w:pPr>
        <w:ind w:firstLine="720"/>
        <w:jc w:val="both"/>
      </w:pPr>
      <w:r>
        <w:t>Because English is the lingua franca of international academic publishing, t</w:t>
      </w:r>
      <w:r w:rsidR="00C21E52" w:rsidRPr="00A2071C">
        <w:t>he work of advancing this agenda has mostly been tasked to specialists in English for Academic Purposes (EAP</w:t>
      </w:r>
      <w:r w:rsidR="003B665C">
        <w:t>) who direct and staff newly</w:t>
      </w:r>
      <w:r w:rsidR="007B52EB">
        <w:t xml:space="preserve"> </w:t>
      </w:r>
      <w:r w:rsidR="003B665C">
        <w:t>created writing centers</w:t>
      </w:r>
      <w:r w:rsidR="004A6ABF">
        <w:t xml:space="preserve"> and writing programs</w:t>
      </w:r>
      <w:r w:rsidR="00CB314E">
        <w:t xml:space="preserve"> at Russian universities</w:t>
      </w:r>
      <w:r w:rsidR="00C21E52" w:rsidRPr="00A2071C">
        <w:t xml:space="preserve">. </w:t>
      </w:r>
      <w:r w:rsidR="007B52EB" w:rsidRPr="007B52EB">
        <w:t xml:space="preserve">The first American-style Russian writing center was founded at the New Economic School (NES), a private graduate school, in 2011. The Academic Writing Center (AWC) at the Higher School of Economics (HSE) quickly followed. Since then, 11 writing centers – some freestanding and some housed in language departments – have sprung up across the country, and a professional organization, the National Writing Centers Consortium (NWCC), has been established to support this burgeoning area of pedagogy and research. The NWCC hosted its first conference in Moscow in 2018, and research on academic writing has been a feature of many national conferences on the teaching of English. In short, there is a rapidly growing community in this area that did not exist ten years </w:t>
      </w:r>
      <w:proofErr w:type="gramStart"/>
      <w:r w:rsidR="007B52EB" w:rsidRPr="007B52EB">
        <w:t>ago</w:t>
      </w:r>
      <w:proofErr w:type="gramEnd"/>
      <w:r w:rsidR="007B52EB" w:rsidRPr="007B52EB">
        <w:t xml:space="preserve"> and which stands to exert some influence not only on the future of academic research and higher education in Russia but in other parts of the region</w:t>
      </w:r>
      <w:r w:rsidR="009B6881">
        <w:t>,</w:t>
      </w:r>
      <w:r w:rsidR="007B52EB" w:rsidRPr="007B52EB">
        <w:t xml:space="preserve"> as interest in writing and writing pedagogy spreads to other parts of the former USSR (see Chapter 1). </w:t>
      </w:r>
    </w:p>
    <w:p w14:paraId="0FF8EF00" w14:textId="21B41676" w:rsidR="001B3D7D" w:rsidRDefault="00C21E52" w:rsidP="00947CD8">
      <w:pPr>
        <w:ind w:firstLine="720"/>
        <w:jc w:val="both"/>
      </w:pPr>
      <w:r w:rsidRPr="00A2071C">
        <w:lastRenderedPageBreak/>
        <w:t xml:space="preserve">Though Russia has its own tradition of writing in the academy and its own academic publishers and journals, </w:t>
      </w:r>
      <w:r w:rsidR="00380C22">
        <w:t>to serve the current needs</w:t>
      </w:r>
      <w:r w:rsidR="004A6ABF">
        <w:t xml:space="preserve">, </w:t>
      </w:r>
      <w:r w:rsidRPr="00A2071C">
        <w:t xml:space="preserve">writing pedagogy models have largely been adapted from abroad. </w:t>
      </w:r>
      <w:r w:rsidR="004A6ABF">
        <w:t xml:space="preserve">This has included concepts like academic literacy and multiliteracy (see Chapter 1, Chapter 3, Chapter 8, and Chapter 10) and </w:t>
      </w:r>
      <w:r w:rsidR="00380C22">
        <w:t xml:space="preserve">institutional models like the </w:t>
      </w:r>
      <w:r w:rsidR="004A6ABF">
        <w:t>writing center (see Chapter 5, Chapter 6, and Chapter 7).</w:t>
      </w:r>
      <w:r w:rsidR="007B52EB">
        <w:t xml:space="preserve"> </w:t>
      </w:r>
      <w:r w:rsidR="004A6ABF">
        <w:t>This does not mean, however, that this conversation only concerns English writing or that these teachers wish to create a siloed, privileged space for English.</w:t>
      </w:r>
      <w:r w:rsidR="00962447">
        <w:t xml:space="preserve"> Rather, there is an effort to make concepts like academic literacy translingual (see Chapter 1), and many support programs offer their services in both English and Russian (see Chapter 6 and Chapter 7)</w:t>
      </w:r>
      <w:r w:rsidR="00380C22">
        <w:t>. P</w:t>
      </w:r>
      <w:r w:rsidR="00962447">
        <w:t xml:space="preserve">ressure to publish is intense regardless of </w:t>
      </w:r>
      <w:r w:rsidR="00380C22">
        <w:t xml:space="preserve">the </w:t>
      </w:r>
      <w:r w:rsidR="00962447">
        <w:t>language</w:t>
      </w:r>
      <w:r w:rsidR="00380C22">
        <w:t xml:space="preserve"> scholars are working in</w:t>
      </w:r>
      <w:r w:rsidR="00962447">
        <w:t xml:space="preserve"> (see Chapter 3 and Chapter 4). Nevertheless, </w:t>
      </w:r>
      <w:r w:rsidR="00380C22">
        <w:t>Russian higher education</w:t>
      </w:r>
      <w:r w:rsidR="00962447">
        <w:t xml:space="preserve"> must contend with the overwhelming demand for </w:t>
      </w:r>
      <w:r w:rsidR="00380C22">
        <w:t xml:space="preserve">writing and writing </w:t>
      </w:r>
      <w:r w:rsidR="00962447">
        <w:t xml:space="preserve">services in English. </w:t>
      </w:r>
    </w:p>
    <w:p w14:paraId="1680C4A1" w14:textId="77777777" w:rsidR="00947CD8" w:rsidRDefault="00947CD8" w:rsidP="00947CD8">
      <w:pPr>
        <w:ind w:firstLine="720"/>
        <w:jc w:val="both"/>
      </w:pPr>
    </w:p>
    <w:p w14:paraId="2E4E15C3" w14:textId="09754287" w:rsidR="001B3D7D" w:rsidRPr="001B3D7D" w:rsidRDefault="001B3D7D" w:rsidP="006F7849">
      <w:pPr>
        <w:jc w:val="both"/>
        <w:rPr>
          <w:b/>
          <w:bCs/>
        </w:rPr>
      </w:pPr>
      <w:r>
        <w:rPr>
          <w:b/>
          <w:bCs/>
        </w:rPr>
        <w:t>The Aims of this Volume</w:t>
      </w:r>
    </w:p>
    <w:p w14:paraId="55FF34BB" w14:textId="412A6F4C" w:rsidR="006F7849" w:rsidRPr="006F7849" w:rsidRDefault="007D09C5" w:rsidP="006F7849">
      <w:pPr>
        <w:ind w:firstLine="720"/>
        <w:jc w:val="both"/>
      </w:pPr>
      <w:r>
        <w:t>The aim of this collection is to offer the reader a broad view of th</w:t>
      </w:r>
      <w:r w:rsidR="00CB314E">
        <w:t>e</w:t>
      </w:r>
      <w:r w:rsidR="00380C22">
        <w:t xml:space="preserve"> changing</w:t>
      </w:r>
      <w:r>
        <w:t xml:space="preserve"> landscape </w:t>
      </w:r>
      <w:r w:rsidR="00380C22">
        <w:t>for</w:t>
      </w:r>
      <w:r>
        <w:t xml:space="preserve"> academic writing, writing pedagogy, and writing centers </w:t>
      </w:r>
      <w:r w:rsidR="008D1CB6">
        <w:t xml:space="preserve">in Russia </w:t>
      </w:r>
      <w:r>
        <w:t xml:space="preserve">by individuals with on-the-ground experience. </w:t>
      </w:r>
      <w:r w:rsidR="008D1CB6">
        <w:t>It includes Russian writing scholars living and working in Russian universities, Russian-born writing scholars currently teaching in the United States, and U</w:t>
      </w:r>
      <w:r w:rsidR="00DA1EC8">
        <w:t xml:space="preserve">. </w:t>
      </w:r>
      <w:r w:rsidR="008D1CB6">
        <w:t xml:space="preserve">S.-born expatriates with experience teaching in Russia. </w:t>
      </w:r>
      <w:r w:rsidR="006F7849">
        <w:t xml:space="preserve">In many ways, it can be viewed as an extension of the work done by the contributors to Pavel </w:t>
      </w:r>
      <w:proofErr w:type="spellStart"/>
      <w:r w:rsidR="006F7849">
        <w:t>Zemliansky</w:t>
      </w:r>
      <w:proofErr w:type="spellEnd"/>
      <w:r w:rsidR="006F7849">
        <w:t xml:space="preserve"> </w:t>
      </w:r>
      <w:r w:rsidR="00DA1EC8">
        <w:t>and</w:t>
      </w:r>
      <w:r w:rsidR="006F7849">
        <w:t xml:space="preserve"> Kirk St. </w:t>
      </w:r>
      <w:proofErr w:type="spellStart"/>
      <w:r w:rsidR="006F7849">
        <w:t>Amant’s</w:t>
      </w:r>
      <w:proofErr w:type="spellEnd"/>
      <w:r w:rsidR="00DA1EC8">
        <w:t xml:space="preserve"> (2016)</w:t>
      </w:r>
      <w:r w:rsidR="006F7849">
        <w:t xml:space="preserve"> </w:t>
      </w:r>
      <w:r w:rsidR="006F7849">
        <w:rPr>
          <w:i/>
          <w:iCs/>
        </w:rPr>
        <w:t>Rethinking Post-Communist Rhetoric</w:t>
      </w:r>
      <w:r w:rsidR="006F7849">
        <w:t xml:space="preserve"> published when the regional conversation was </w:t>
      </w:r>
      <w:r w:rsidR="003B665C">
        <w:t xml:space="preserve">still </w:t>
      </w:r>
      <w:r w:rsidR="006F7849">
        <w:t xml:space="preserve">nascent. As </w:t>
      </w:r>
      <w:r w:rsidR="00380C22">
        <w:t xml:space="preserve">Tatiana </w:t>
      </w:r>
      <w:proofErr w:type="spellStart"/>
      <w:r w:rsidR="00380C22">
        <w:t>Glushko</w:t>
      </w:r>
      <w:proofErr w:type="spellEnd"/>
      <w:r w:rsidR="002960AF">
        <w:t xml:space="preserve"> </w:t>
      </w:r>
      <w:r w:rsidR="003B665C">
        <w:t>notes</w:t>
      </w:r>
      <w:r w:rsidR="006F7849">
        <w:t xml:space="preserve"> in Chapter </w:t>
      </w:r>
      <w:r w:rsidR="00380C22">
        <w:t>5</w:t>
      </w:r>
      <w:r w:rsidR="006F7849">
        <w:t xml:space="preserve"> of this collection, </w:t>
      </w:r>
      <w:proofErr w:type="spellStart"/>
      <w:r w:rsidR="006F7849">
        <w:t>Thaiss</w:t>
      </w:r>
      <w:proofErr w:type="spellEnd"/>
      <w:r w:rsidR="00947CD8">
        <w:t xml:space="preserve">, </w:t>
      </w:r>
      <w:proofErr w:type="spellStart"/>
      <w:r w:rsidR="00947CD8">
        <w:t>Brauer</w:t>
      </w:r>
      <w:proofErr w:type="spellEnd"/>
      <w:r w:rsidR="00947CD8">
        <w:t xml:space="preserve">, </w:t>
      </w:r>
      <w:proofErr w:type="spellStart"/>
      <w:r w:rsidR="00947CD8">
        <w:t>Carlino</w:t>
      </w:r>
      <w:proofErr w:type="spellEnd"/>
      <w:r w:rsidR="00947CD8">
        <w:t xml:space="preserve">, </w:t>
      </w:r>
      <w:proofErr w:type="spellStart"/>
      <w:r w:rsidR="00947CD8">
        <w:t>Ganobcsik</w:t>
      </w:r>
      <w:proofErr w:type="spellEnd"/>
      <w:r w:rsidR="00947CD8">
        <w:t xml:space="preserve">-Williams and Sinha’s </w:t>
      </w:r>
      <w:r w:rsidR="006F7849">
        <w:t xml:space="preserve">(2012) worldwide survey of writing programs included no entries from Russia. With a special focus on the Russian context, we show how research in this area has developed regionally since the middle of the decade – a truly productive and arguably transformative period in terms of the establishment of institutions (like the NWCC) and the development of research, which in the Russian context has come to embrace </w:t>
      </w:r>
      <w:r w:rsidR="00947CD8">
        <w:t xml:space="preserve">approaches rooted in </w:t>
      </w:r>
      <w:r w:rsidR="006F7849">
        <w:t>academic literac</w:t>
      </w:r>
      <w:r w:rsidR="00CB314E">
        <w:t>y</w:t>
      </w:r>
      <w:r w:rsidR="006F7849">
        <w:t xml:space="preserve"> (Lillis &amp; Curry, 2010) as well as multilingual approaches (</w:t>
      </w:r>
      <w:proofErr w:type="spellStart"/>
      <w:r w:rsidR="006F7849">
        <w:t>Korotkina</w:t>
      </w:r>
      <w:proofErr w:type="spellEnd"/>
      <w:r w:rsidR="006F7849">
        <w:t xml:space="preserve">, 2018). </w:t>
      </w:r>
    </w:p>
    <w:p w14:paraId="4C392B12" w14:textId="4ABECE31" w:rsidR="00DE7279" w:rsidRDefault="00A97BB2" w:rsidP="006F7849">
      <w:pPr>
        <w:ind w:firstLine="720"/>
        <w:jc w:val="both"/>
      </w:pPr>
      <w:r>
        <w:t xml:space="preserve">We therefore </w:t>
      </w:r>
      <w:r w:rsidR="006F7849">
        <w:t xml:space="preserve">also </w:t>
      </w:r>
      <w:r>
        <w:t>contribute to the growing conversation about the internationalization of higher education models (</w:t>
      </w:r>
      <w:proofErr w:type="spellStart"/>
      <w:r w:rsidR="00C21E52">
        <w:t>Altbach</w:t>
      </w:r>
      <w:proofErr w:type="spellEnd"/>
      <w:r w:rsidR="00C21E52">
        <w:t xml:space="preserve"> &amp; Knight, 2007; </w:t>
      </w:r>
      <w:r w:rsidR="003C5710">
        <w:t xml:space="preserve">Brooks &amp; Waters, 2011; </w:t>
      </w:r>
      <w:proofErr w:type="spellStart"/>
      <w:r w:rsidR="001034B5">
        <w:t>Rajakumar</w:t>
      </w:r>
      <w:proofErr w:type="spellEnd"/>
      <w:r w:rsidR="000369BA">
        <w:t>,</w:t>
      </w:r>
      <w:r w:rsidR="001034B5">
        <w:t xml:space="preserve"> </w:t>
      </w:r>
      <w:r>
        <w:t>2018) and the field of writing studies (</w:t>
      </w:r>
      <w:r w:rsidR="00467B5F">
        <w:t xml:space="preserve">Arnold, </w:t>
      </w:r>
      <w:proofErr w:type="spellStart"/>
      <w:r w:rsidR="00467B5F">
        <w:t>Nebe</w:t>
      </w:r>
      <w:r w:rsidR="00A01BF3">
        <w:t>l</w:t>
      </w:r>
      <w:proofErr w:type="spellEnd"/>
      <w:r w:rsidR="00A01BF3">
        <w:t>,</w:t>
      </w:r>
      <w:r w:rsidR="00467B5F">
        <w:t xml:space="preserve"> &amp; </w:t>
      </w:r>
      <w:proofErr w:type="spellStart"/>
      <w:r w:rsidR="00467B5F">
        <w:t>Ronesi</w:t>
      </w:r>
      <w:proofErr w:type="spellEnd"/>
      <w:r w:rsidR="00467B5F">
        <w:t xml:space="preserve">, 2017; </w:t>
      </w:r>
      <w:r w:rsidR="003C5710">
        <w:t>Bazerman et al., 201</w:t>
      </w:r>
      <w:r w:rsidR="00947CD8">
        <w:t>2</w:t>
      </w:r>
      <w:r>
        <w:t>). This is in some ways a story about the importation of Anglophone models of writing pedagogy that, as Christine Donahue (2009) noted a decade ago, have been the focus of much research under the rubric of internationalization. But it is also a story</w:t>
      </w:r>
      <w:r w:rsidR="00F6788F">
        <w:t xml:space="preserve"> about the uniquely local character of writing interventions</w:t>
      </w:r>
      <w:r w:rsidR="00CB314E">
        <w:t>, which</w:t>
      </w:r>
      <w:r w:rsidR="00F6788F">
        <w:t xml:space="preserve"> has also been the hallmark of so much research in this field (</w:t>
      </w:r>
      <w:proofErr w:type="spellStart"/>
      <w:r w:rsidR="00F6788F" w:rsidRPr="00F6788F">
        <w:t>Muchiri</w:t>
      </w:r>
      <w:proofErr w:type="spellEnd"/>
      <w:r w:rsidR="00F6788F" w:rsidRPr="00F6788F">
        <w:t xml:space="preserve">, </w:t>
      </w:r>
      <w:proofErr w:type="spellStart"/>
      <w:r w:rsidR="00F6788F" w:rsidRPr="00F6788F">
        <w:t>Mulamba</w:t>
      </w:r>
      <w:proofErr w:type="spellEnd"/>
      <w:r w:rsidR="00F6788F" w:rsidRPr="00F6788F">
        <w:t xml:space="preserve">, Myers, &amp; </w:t>
      </w:r>
      <w:proofErr w:type="spellStart"/>
      <w:r w:rsidR="00F6788F" w:rsidRPr="00F6788F">
        <w:t>Ndoloi</w:t>
      </w:r>
      <w:proofErr w:type="spellEnd"/>
      <w:r w:rsidR="00F6788F" w:rsidRPr="00F6788F">
        <w:t xml:space="preserve">, </w:t>
      </w:r>
      <w:r w:rsidR="00F6788F">
        <w:t xml:space="preserve">1995). </w:t>
      </w:r>
    </w:p>
    <w:p w14:paraId="6421F464" w14:textId="5F3DADF4" w:rsidR="00A97BB2" w:rsidRDefault="00F6788F" w:rsidP="006F7849">
      <w:pPr>
        <w:ind w:firstLine="720"/>
        <w:jc w:val="both"/>
      </w:pPr>
      <w:r>
        <w:t xml:space="preserve">While Western-born and trained individuals like myself have been a part of the development of </w:t>
      </w:r>
      <w:r w:rsidR="00DE7279">
        <w:t>academic writing</w:t>
      </w:r>
      <w:r>
        <w:t xml:space="preserve"> in Russia, much of the conversation is being driven by people whose lives and careers have been centered </w:t>
      </w:r>
      <w:r w:rsidR="00DE7279">
        <w:t>t</w:t>
      </w:r>
      <w:r>
        <w:t>here. Unlike in the Middle East</w:t>
      </w:r>
      <w:r w:rsidR="006F7849">
        <w:t>, East Asi</w:t>
      </w:r>
      <w:r w:rsidR="00956178">
        <w:t>a,</w:t>
      </w:r>
      <w:r w:rsidR="006F7849">
        <w:t xml:space="preserve"> and other parts of the world</w:t>
      </w:r>
      <w:r>
        <w:t>, there are no branch campuses of U</w:t>
      </w:r>
      <w:r w:rsidR="00956178">
        <w:t xml:space="preserve">. </w:t>
      </w:r>
      <w:r>
        <w:t xml:space="preserve">S. universities </w:t>
      </w:r>
      <w:r w:rsidR="00DD562B">
        <w:t>in Russia</w:t>
      </w:r>
      <w:r>
        <w:t xml:space="preserve"> (though some private universities maintain dual-diploma programs), and</w:t>
      </w:r>
      <w:r w:rsidR="00380C22">
        <w:t xml:space="preserve"> only a few</w:t>
      </w:r>
      <w:r>
        <w:t xml:space="preserve"> </w:t>
      </w:r>
      <w:r w:rsidR="006F7849">
        <w:t>Western-trained specialists (be they U</w:t>
      </w:r>
      <w:r w:rsidR="007C0DAC">
        <w:t xml:space="preserve">. </w:t>
      </w:r>
      <w:r w:rsidR="006F7849">
        <w:t>S.-trained compositionists or applied linguists</w:t>
      </w:r>
      <w:r w:rsidR="00947CD8">
        <w:t xml:space="preserve"> based in Europe or the UK</w:t>
      </w:r>
      <w:r w:rsidR="006F7849">
        <w:t>)</w:t>
      </w:r>
      <w:r>
        <w:t xml:space="preserve">. </w:t>
      </w:r>
      <w:r w:rsidR="00DD562B">
        <w:t>While a few practitioners are familiar with the U</w:t>
      </w:r>
      <w:r w:rsidR="00956178">
        <w:t xml:space="preserve">. </w:t>
      </w:r>
      <w:r w:rsidR="00DD562B">
        <w:t xml:space="preserve">S.-based field of </w:t>
      </w:r>
      <w:r w:rsidR="007C0DAC">
        <w:t>r</w:t>
      </w:r>
      <w:r w:rsidR="00DD562B">
        <w:t xml:space="preserve">hetoric and </w:t>
      </w:r>
      <w:r w:rsidR="007C0DAC">
        <w:t>c</w:t>
      </w:r>
      <w:r w:rsidR="00DD562B">
        <w:t xml:space="preserve">omposition, many more are trained as ESP/EAP teachers and scholars. </w:t>
      </w:r>
      <w:r>
        <w:t xml:space="preserve">As the reader will see from this collection, </w:t>
      </w:r>
      <w:r w:rsidR="00DD562B">
        <w:t xml:space="preserve">this means that Russian writing programs are pulling together resources from a variety of places and adapting </w:t>
      </w:r>
      <w:r w:rsidR="00572F04">
        <w:t xml:space="preserve">them </w:t>
      </w:r>
      <w:r w:rsidR="00DD562B">
        <w:t>to their own needs</w:t>
      </w:r>
      <w:r>
        <w:t xml:space="preserve">. It also means that the development of this field is influenced by a deep understanding of the unique structural challenges Russian scholars and teachers face, of the </w:t>
      </w:r>
      <w:r>
        <w:lastRenderedPageBreak/>
        <w:t>idiosyncrasies of</w:t>
      </w:r>
      <w:r w:rsidR="00572F04">
        <w:t xml:space="preserve"> the</w:t>
      </w:r>
      <w:r>
        <w:t xml:space="preserve"> Russian educational bureaucracy, of the</w:t>
      </w:r>
      <w:r w:rsidR="00572F04">
        <w:t xml:space="preserve"> unique</w:t>
      </w:r>
      <w:r>
        <w:t xml:space="preserve"> </w:t>
      </w:r>
      <w:r w:rsidR="00B36BDA">
        <w:t>linguistic and cultural context for writin</w:t>
      </w:r>
      <w:r w:rsidR="00C55AA2">
        <w:t>g,</w:t>
      </w:r>
      <w:r w:rsidR="00B36BDA">
        <w:t xml:space="preserve"> and other forms of academic communication.</w:t>
      </w:r>
    </w:p>
    <w:p w14:paraId="65C226D2" w14:textId="43188A7E" w:rsidR="006F7849" w:rsidRDefault="008D1CB6" w:rsidP="006F7849">
      <w:pPr>
        <w:jc w:val="both"/>
      </w:pPr>
      <w:r>
        <w:tab/>
      </w:r>
      <w:r w:rsidR="00B36BDA">
        <w:t xml:space="preserve">A few words about my positionality as editor may be warranted here. </w:t>
      </w:r>
      <w:r>
        <w:t>After completing my PhD at the University of Texas at Austin</w:t>
      </w:r>
      <w:r w:rsidR="006F7849">
        <w:t xml:space="preserve"> in 2013</w:t>
      </w:r>
      <w:r>
        <w:t xml:space="preserve">, I </w:t>
      </w:r>
      <w:r w:rsidR="006F7849">
        <w:t>was hired as the</w:t>
      </w:r>
      <w:r>
        <w:t xml:space="preserve"> Associate Director of the Writing and Communication Center</w:t>
      </w:r>
      <w:r w:rsidR="006F7849">
        <w:t xml:space="preserve"> (WCC)</w:t>
      </w:r>
      <w:r>
        <w:t xml:space="preserve"> at the </w:t>
      </w:r>
      <w:r w:rsidR="006F7849">
        <w:t>NES</w:t>
      </w:r>
      <w:r>
        <w:t xml:space="preserve">, founded to support the curriculum of its elite, American-style liberal arts </w:t>
      </w:r>
      <w:r w:rsidR="00947CD8">
        <w:t xml:space="preserve">bachelor’s </w:t>
      </w:r>
      <w:r>
        <w:t>program</w:t>
      </w:r>
      <w:r w:rsidR="006F7849">
        <w:t xml:space="preserve"> (</w:t>
      </w:r>
      <w:r w:rsidR="00380C22">
        <w:t xml:space="preserve">Olga </w:t>
      </w:r>
      <w:proofErr w:type="spellStart"/>
      <w:r w:rsidR="00380C22">
        <w:t>Aksakalova</w:t>
      </w:r>
      <w:proofErr w:type="spellEnd"/>
      <w:r w:rsidR="006F7849">
        <w:t xml:space="preserve">, the first Director of the WCC, joins me in Chapter </w:t>
      </w:r>
      <w:r w:rsidR="00380C22">
        <w:t>7</w:t>
      </w:r>
      <w:r w:rsidR="006F7849">
        <w:t xml:space="preserve"> of this collection)</w:t>
      </w:r>
      <w:r>
        <w:t xml:space="preserve">. </w:t>
      </w:r>
      <w:r w:rsidR="00B36BDA">
        <w:t>Because</w:t>
      </w:r>
      <w:r>
        <w:t xml:space="preserve"> </w:t>
      </w:r>
      <w:r w:rsidR="00DD562B">
        <w:t xml:space="preserve">I have </w:t>
      </w:r>
      <w:r>
        <w:t xml:space="preserve">therefore been present for much of the </w:t>
      </w:r>
      <w:r w:rsidR="00380C22">
        <w:t>recent</w:t>
      </w:r>
      <w:r>
        <w:t xml:space="preserve"> history of academic writing in Russia</w:t>
      </w:r>
      <w:r w:rsidR="006F7849">
        <w:t xml:space="preserve"> and am also very familiar with international academic norms (including the process of publishing a book with an American university press),</w:t>
      </w:r>
      <w:r w:rsidR="00F16D32">
        <w:t xml:space="preserve"> </w:t>
      </w:r>
      <w:r w:rsidR="006F7849">
        <w:t>I am well-positioned to help mediate this discussion.</w:t>
      </w:r>
      <w:r w:rsidR="003B665C">
        <w:t xml:space="preserve"> </w:t>
      </w:r>
      <w:r w:rsidR="00B36BDA" w:rsidRPr="005331EC">
        <w:t xml:space="preserve">However, </w:t>
      </w:r>
      <w:r w:rsidR="009B6881">
        <w:t>on top of</w:t>
      </w:r>
      <w:r w:rsidRPr="005331EC">
        <w:t xml:space="preserve"> my non-Russian biography, the institution I work for is </w:t>
      </w:r>
      <w:r w:rsidR="00380C22">
        <w:t>unusual in the broader landscape of Russian higher education</w:t>
      </w:r>
      <w:r w:rsidRPr="005331EC">
        <w:t xml:space="preserve">. </w:t>
      </w:r>
      <w:r w:rsidR="0021208D" w:rsidRPr="005331EC">
        <w:t xml:space="preserve">In addition to its liberal arts </w:t>
      </w:r>
      <w:r w:rsidR="006F7849" w:rsidRPr="005331EC">
        <w:t>bachelor’s</w:t>
      </w:r>
      <w:r w:rsidR="0021208D" w:rsidRPr="005331EC">
        <w:t xml:space="preserve"> curriculum</w:t>
      </w:r>
      <w:r w:rsidR="00380C22">
        <w:t>,</w:t>
      </w:r>
      <w:r w:rsidR="0021208D" w:rsidRPr="005331EC">
        <w:t xml:space="preserve"> t</w:t>
      </w:r>
      <w:r w:rsidRPr="005331EC">
        <w:t xml:space="preserve">he faculty who teach at NES are international. Indeed, one must hold a PhD from a Western university to hold the rank of Assistant Professor. From a Russian perspective, this is a pretty rarified environment in which to establish a writing center. NES gives us the institutional flexibility and the international orientation to serve students in the best way we know how, using methods largely adapted from the United States. </w:t>
      </w:r>
    </w:p>
    <w:p w14:paraId="47B97142" w14:textId="368612A4" w:rsidR="002A4BD7" w:rsidRDefault="003B665C" w:rsidP="006F7849">
      <w:pPr>
        <w:ind w:firstLine="720"/>
        <w:jc w:val="both"/>
      </w:pPr>
      <w:r>
        <w:t>The pioneering role of NES as well as the institutional growth and leadership of HSE helps explain why there are several contributions from the faculty of those institutions (as does the fact that our funding models and teaching loads give faculty comparatively more freedom to engage in research activities). At most other institutions,</w:t>
      </w:r>
      <w:r w:rsidR="008D1CB6" w:rsidRPr="005331EC">
        <w:t xml:space="preserve"> writing </w:t>
      </w:r>
      <w:r w:rsidR="0021208D" w:rsidRPr="005331EC">
        <w:t xml:space="preserve">centers, </w:t>
      </w:r>
      <w:r w:rsidR="008D1CB6" w:rsidRPr="005331EC">
        <w:t>program</w:t>
      </w:r>
      <w:r w:rsidR="002A4BD7">
        <w:t>s,</w:t>
      </w:r>
      <w:r w:rsidR="008D1CB6" w:rsidRPr="005331EC">
        <w:t xml:space="preserve"> and curricula must attempt to fit into the complicated bureaucratic structure of higher ed</w:t>
      </w:r>
      <w:r w:rsidR="0068616E">
        <w:t>ucation</w:t>
      </w:r>
      <w:r w:rsidR="008D1CB6" w:rsidRPr="005331EC">
        <w:t xml:space="preserve"> and serve a constituency that is far less habituated (indeed is often quite skeptical) of Western-identified educational models. In fact, the WCC at NES remains the only </w:t>
      </w:r>
      <w:r w:rsidR="00B011A6">
        <w:t xml:space="preserve">bilingual </w:t>
      </w:r>
      <w:r w:rsidR="008D1CB6" w:rsidRPr="005331EC">
        <w:t>writing center in Russia that serves undergraduates as its primary constituency.</w:t>
      </w:r>
      <w:r w:rsidR="0021208D" w:rsidRPr="005331EC">
        <w:t xml:space="preserve"> We also seem to have the only undergraduate program in which there are required writing-intensive courses in both Russian and English.</w:t>
      </w:r>
      <w:r w:rsidR="008D1CB6" w:rsidRPr="005331EC">
        <w:t xml:space="preserve"> Most of the other centers </w:t>
      </w:r>
      <w:r w:rsidR="00A323B0" w:rsidRPr="005331EC">
        <w:t xml:space="preserve">and programs </w:t>
      </w:r>
      <w:r w:rsidR="008D1CB6" w:rsidRPr="005331EC">
        <w:t xml:space="preserve">exist to serve research faculty and sometimes graduate students. </w:t>
      </w:r>
      <w:r w:rsidR="006F7849">
        <w:t>As this volume will demonstrate, Russian w</w:t>
      </w:r>
      <w:r w:rsidR="006A21FD" w:rsidRPr="005331EC">
        <w:t xml:space="preserve">riting centers have in many cases expanded well beyond the consultancy model </w:t>
      </w:r>
      <w:r w:rsidR="006F7849">
        <w:t xml:space="preserve">we use at NES </w:t>
      </w:r>
      <w:r w:rsidR="006A21FD" w:rsidRPr="005331EC">
        <w:t xml:space="preserve">to become de facto academic writing departments or programs. </w:t>
      </w:r>
      <w:r w:rsidR="006F7849">
        <w:t>T</w:t>
      </w:r>
      <w:r w:rsidR="00160FF8" w:rsidRPr="005331EC">
        <w:t>he aforementioned Academic Writing Center</w:t>
      </w:r>
      <w:r w:rsidR="00A2071C">
        <w:t xml:space="preserve"> </w:t>
      </w:r>
      <w:r w:rsidR="00160FF8" w:rsidRPr="005331EC">
        <w:t>at the Higher School of Economics, Moscow (</w:t>
      </w:r>
      <w:r w:rsidR="006F7849">
        <w:t xml:space="preserve">described in detail in Chapter </w:t>
      </w:r>
      <w:r w:rsidR="00B011A6">
        <w:t>6</w:t>
      </w:r>
      <w:r w:rsidR="00160FF8" w:rsidRPr="005331EC">
        <w:t>)</w:t>
      </w:r>
      <w:r w:rsidR="006F7849">
        <w:t>, for example,</w:t>
      </w:r>
      <w:r w:rsidR="00160FF8" w:rsidRPr="005331EC">
        <w:t xml:space="preserve"> seeks to “meet the growing needs of our faculty for participating in the global academic community and improving the international visibility of the research and educational services provided by HSE,” offering courses, workshops, and individual consultations for “faculty, researchers and students who write for international publications and take part in global research conferences”</w:t>
      </w:r>
      <w:r w:rsidR="00947CD8">
        <w:t xml:space="preserve"> (Academic Writing Center, n.d.)</w:t>
      </w:r>
      <w:r w:rsidR="00160FF8" w:rsidRPr="005331EC">
        <w:t xml:space="preserve"> Elsewhere in Moscow, the Academic Writing University Center at the National University of Science and Technology</w:t>
      </w:r>
      <w:r w:rsidR="006F7849">
        <w:t xml:space="preserve"> (where Director Elena </w:t>
      </w:r>
      <w:proofErr w:type="spellStart"/>
      <w:r w:rsidR="006F7849">
        <w:t>Bazanova</w:t>
      </w:r>
      <w:proofErr w:type="spellEnd"/>
      <w:r w:rsidR="006F7849">
        <w:t xml:space="preserve"> </w:t>
      </w:r>
      <w:r w:rsidR="009B6881">
        <w:t xml:space="preserve">also </w:t>
      </w:r>
      <w:r w:rsidR="006F7849">
        <w:t xml:space="preserve">serves as the President of the NWCC) </w:t>
      </w:r>
      <w:r w:rsidR="00160FF8" w:rsidRPr="005331EC">
        <w:t xml:space="preserve"> </w:t>
      </w:r>
    </w:p>
    <w:p w14:paraId="251A333A" w14:textId="3CBCA933" w:rsidR="00160FF8" w:rsidRPr="005331EC" w:rsidRDefault="009B6881" w:rsidP="002A4BD7">
      <w:pPr>
        <w:ind w:left="720"/>
        <w:jc w:val="both"/>
      </w:pPr>
      <w:r>
        <w:t>P</w:t>
      </w:r>
      <w:r w:rsidR="00160FF8" w:rsidRPr="005331EC">
        <w:t xml:space="preserve">rovides language support services to university PhD students, researchers and faculty for every stage of their academic career and for any kind of writing, </w:t>
      </w:r>
      <w:proofErr w:type="gramStart"/>
      <w:r w:rsidR="00160FF8" w:rsidRPr="005331EC">
        <w:t>e.g.</w:t>
      </w:r>
      <w:proofErr w:type="gramEnd"/>
      <w:r w:rsidR="00160FF8" w:rsidRPr="005331EC">
        <w:t xml:space="preserve"> abstract writing, conference papers, dissertation and thesis writing, grant proposal writing, research papers, etc. in English</w:t>
      </w:r>
      <w:r w:rsidR="002A4BD7">
        <w:t>.</w:t>
      </w:r>
      <w:r w:rsidR="00160FF8" w:rsidRPr="005331EC">
        <w:t xml:space="preserve"> (</w:t>
      </w:r>
      <w:r w:rsidR="00947CD8">
        <w:t>Academic Writing University Center, n.d.</w:t>
      </w:r>
      <w:r w:rsidR="00160FF8" w:rsidRPr="005331EC">
        <w:t xml:space="preserve">) </w:t>
      </w:r>
    </w:p>
    <w:p w14:paraId="718FF6F8" w14:textId="603ABC80" w:rsidR="00712B8B" w:rsidRPr="005331EC" w:rsidRDefault="00160FF8" w:rsidP="00947CD8">
      <w:r w:rsidRPr="005331EC">
        <w:t xml:space="preserve">Writing centers and programs are also active well beyond the </w:t>
      </w:r>
      <w:r w:rsidR="00712B8B" w:rsidRPr="005331EC">
        <w:t xml:space="preserve">Russian </w:t>
      </w:r>
      <w:r w:rsidRPr="005331EC">
        <w:t>capitals</w:t>
      </w:r>
      <w:r w:rsidR="006F7849">
        <w:t xml:space="preserve"> (Moscow and St. Petersburg)</w:t>
      </w:r>
      <w:r w:rsidRPr="005331EC">
        <w:t>. The Samara Academic Consultancy Center</w:t>
      </w:r>
      <w:r w:rsidR="00712B8B" w:rsidRPr="005331EC">
        <w:t xml:space="preserve">, part of the Modern Languages department at Samara University, was established to “provide consultations on article writing for English journals, assistance for participation in international conferences, workshops for mastering skills of foreign language communicative competence for both teaching staff and </w:t>
      </w:r>
      <w:r w:rsidR="00712B8B" w:rsidRPr="005331EC">
        <w:lastRenderedPageBreak/>
        <w:t>students” (</w:t>
      </w:r>
      <w:r w:rsidR="00947CD8">
        <w:t>Samara Academic Consultancy Center, n.d.</w:t>
      </w:r>
      <w:r w:rsidR="00712B8B" w:rsidRPr="005331EC">
        <w:t xml:space="preserve">). Far to the east in Siberia, the Center for Academic Writing “Impulse” </w:t>
      </w:r>
      <w:r w:rsidR="00947CD8" w:rsidRPr="00947CD8">
        <w:t>“</w:t>
      </w:r>
      <w:r w:rsidR="00947CD8" w:rsidRPr="00947CD8">
        <w:rPr>
          <w:shd w:val="clear" w:color="auto" w:fill="FFFFFF"/>
        </w:rPr>
        <w:t>delivers Academic English language programs to the University faculty and researchers and provides support to them in developing scientific writing skills to get published in international journals</w:t>
      </w:r>
      <w:r w:rsidR="00712B8B" w:rsidRPr="00947CD8">
        <w:t xml:space="preserve">” </w:t>
      </w:r>
      <w:r w:rsidR="00712B8B" w:rsidRPr="005331EC">
        <w:t>(</w:t>
      </w:r>
      <w:r w:rsidR="00947CD8">
        <w:t>Center for Academic Writing “Impulse”, n.d.</w:t>
      </w:r>
      <w:r w:rsidR="00712B8B" w:rsidRPr="005331EC">
        <w:t>)</w:t>
      </w:r>
      <w:r w:rsidR="00947CD8">
        <w:t>.</w:t>
      </w:r>
    </w:p>
    <w:p w14:paraId="642C3612" w14:textId="62D9712F" w:rsidR="008D1CB6" w:rsidRDefault="00712B8B" w:rsidP="006F7849">
      <w:pPr>
        <w:ind w:firstLine="720"/>
        <w:jc w:val="both"/>
      </w:pPr>
      <w:r w:rsidRPr="005331EC">
        <w:t xml:space="preserve">The list of National Writing Centers Consortium </w:t>
      </w:r>
      <w:r w:rsidR="00A2071C">
        <w:t>m</w:t>
      </w:r>
      <w:r w:rsidRPr="005331EC">
        <w:t>embers goes on to include writing and linguistic support centers at the I</w:t>
      </w:r>
      <w:r w:rsidR="00BC21EC">
        <w:t xml:space="preserve">. </w:t>
      </w:r>
      <w:r w:rsidRPr="005331EC">
        <w:t xml:space="preserve">M. </w:t>
      </w:r>
      <w:proofErr w:type="spellStart"/>
      <w:r w:rsidRPr="005331EC">
        <w:t>Sechenov</w:t>
      </w:r>
      <w:proofErr w:type="spellEnd"/>
      <w:r w:rsidRPr="005331EC">
        <w:t xml:space="preserve"> First Moscow State Medical University (Moscow), the Russian Presidential Academy of National Economy and Public Administration (Moscow), the Moscow Institute of Physics and Technology (Moscow), ITMO University (St. Petersburg), Tomsk State University (Tomsk), and Tomsk Polytechnic University (Tomsk</w:t>
      </w:r>
      <w:r w:rsidR="00BC21EC">
        <w:t xml:space="preserve">; </w:t>
      </w:r>
      <w:r w:rsidR="00947CD8">
        <w:t>National Writing Center Consortium, n.d.</w:t>
      </w:r>
      <w:r w:rsidRPr="005331EC">
        <w:t>).</w:t>
      </w:r>
      <w:r w:rsidR="006A21FD">
        <w:t xml:space="preserve"> </w:t>
      </w:r>
      <w:r>
        <w:t xml:space="preserve"> </w:t>
      </w:r>
    </w:p>
    <w:p w14:paraId="076335C4" w14:textId="64EBBE21" w:rsidR="00F16D32" w:rsidRDefault="00712B8B" w:rsidP="006F7849">
      <w:pPr>
        <w:ind w:firstLine="720"/>
        <w:jc w:val="both"/>
      </w:pPr>
      <w:r>
        <w:t>M</w:t>
      </w:r>
      <w:r w:rsidR="008D1CB6">
        <w:t xml:space="preserve">y aim </w:t>
      </w:r>
      <w:r>
        <w:t xml:space="preserve">in this collection </w:t>
      </w:r>
      <w:r w:rsidR="00B36BDA">
        <w:t>is</w:t>
      </w:r>
      <w:r w:rsidR="008D1CB6">
        <w:t xml:space="preserve"> </w:t>
      </w:r>
      <w:r w:rsidR="006A21FD">
        <w:t xml:space="preserve">therefore </w:t>
      </w:r>
      <w:r w:rsidR="008D1CB6">
        <w:t>to offer as broad as possible a view of how writing pedagogy is conceived of and practiced, which means that much of the discussion will center on the teaching of writing to researchers and not the more familiar paradigm (for a U</w:t>
      </w:r>
      <w:r w:rsidR="004F6C6F">
        <w:t xml:space="preserve">. </w:t>
      </w:r>
      <w:r w:rsidR="008D1CB6">
        <w:t xml:space="preserve">S. audience) of teaching writing to </w:t>
      </w:r>
      <w:r w:rsidR="00F16D32">
        <w:t xml:space="preserve">late teens and </w:t>
      </w:r>
      <w:r w:rsidR="008D1CB6">
        <w:t>young twenty-somethings</w:t>
      </w:r>
      <w:r w:rsidR="00A251F8">
        <w:t xml:space="preserve"> (though this is dealt with in Part Four)</w:t>
      </w:r>
      <w:r w:rsidR="008D1CB6">
        <w:t xml:space="preserve">. </w:t>
      </w:r>
      <w:r w:rsidR="00B36BDA">
        <w:t xml:space="preserve">Writing education for school children and undergraduates is, as it is most places, a concern, but for the moment, researchers are the institutional priority and </w:t>
      </w:r>
      <w:r w:rsidR="00572F04">
        <w:t xml:space="preserve">are </w:t>
      </w:r>
      <w:r w:rsidR="00B36BDA">
        <w:t xml:space="preserve">thus where a lot of the effort is being directed. Writing pedagogy </w:t>
      </w:r>
      <w:r w:rsidR="003B665C">
        <w:t>and research are</w:t>
      </w:r>
      <w:r w:rsidR="00B36BDA">
        <w:t xml:space="preserve"> therefore less focused on the freshman seminar and more focused on professional development modules offered to faculty who range from early </w:t>
      </w:r>
      <w:r w:rsidR="00947CD8">
        <w:t>postdoctoral researchers</w:t>
      </w:r>
      <w:r w:rsidR="00B36BDA">
        <w:t xml:space="preserve"> to experienced scholars, some of whom may indeed be reluctant to start publishing in English or conforming to international (Anglophone) norms of academic communication. Writing centers, as they do in other places, offer individual consultations, but these are usually about work that is intended for publication</w:t>
      </w:r>
      <w:r w:rsidR="00D4100F">
        <w:t xml:space="preserve"> and therefore demand different techniques than the ones used in undergraduate writing centers.</w:t>
      </w:r>
      <w:r w:rsidR="00B36BDA">
        <w:t xml:space="preserve"> </w:t>
      </w:r>
      <w:r w:rsidR="00A323B0" w:rsidRPr="00A2071C">
        <w:t>This collection is therefore a unique opportunity to look at how writing pedagogy and writing center practices are being adapted for multi-lingual faculty, a constituency that has not heretofore been very visible even in the international scholarship on writing but whose needs are nevertheless real and urgent.</w:t>
      </w:r>
      <w:r w:rsidR="00A323B0">
        <w:t xml:space="preserve"> </w:t>
      </w:r>
    </w:p>
    <w:p w14:paraId="16F4BAD1" w14:textId="14F90CAA" w:rsidR="001B3D7D" w:rsidRDefault="00B36BDA" w:rsidP="006F7849">
      <w:pPr>
        <w:ind w:firstLine="720"/>
        <w:jc w:val="both"/>
      </w:pPr>
      <w:r>
        <w:t>The writing scholars in this collection are focused on what motivates their colleagues to write and to learn about writing, on the types of interventions</w:t>
      </w:r>
      <w:r w:rsidR="00D4100F">
        <w:t xml:space="preserve"> that work </w:t>
      </w:r>
      <w:r w:rsidR="00EC63E5">
        <w:t>f</w:t>
      </w:r>
      <w:r w:rsidR="00D4100F">
        <w:t xml:space="preserve">or </w:t>
      </w:r>
      <w:r w:rsidR="00EC63E5">
        <w:t>faculty</w:t>
      </w:r>
      <w:r w:rsidR="00D4100F">
        <w:t xml:space="preserve">, and on the technologies that might help </w:t>
      </w:r>
      <w:r w:rsidR="00EC63E5">
        <w:t>busy professionals</w:t>
      </w:r>
      <w:r w:rsidR="00D4100F">
        <w:t xml:space="preserve"> save time. These concerns are deeply pragmatic and locally situated, but they have much to teach our distant colleagues. </w:t>
      </w:r>
      <w:r w:rsidR="00A6523D">
        <w:t>If academia is to become a kind of global public sphere in which ideas can be discussed and debated – and if English is to be its lingua franca – then Anglophones will need to learn from the experiences of their international colleagues as much as those colleagues will need to adapt in order to be published</w:t>
      </w:r>
      <w:r w:rsidR="00A251F8">
        <w:t xml:space="preserve"> (Lillis &amp; Curry, 2010)</w:t>
      </w:r>
      <w:r w:rsidR="00A6523D">
        <w:t xml:space="preserve">. </w:t>
      </w:r>
      <w:r w:rsidR="00D4100F">
        <w:t xml:space="preserve">And as I think is clear from the tenor of these essays, we </w:t>
      </w:r>
      <w:r w:rsidR="00947CD8">
        <w:t>the authors and our colleagues</w:t>
      </w:r>
      <w:r w:rsidR="00D4100F">
        <w:t xml:space="preserve"> are </w:t>
      </w:r>
      <w:r w:rsidR="00F16D32">
        <w:t>ready</w:t>
      </w:r>
      <w:r w:rsidR="00D4100F">
        <w:t xml:space="preserve"> for international dialogue and cooperation.</w:t>
      </w:r>
      <w:r w:rsidR="00A6523D">
        <w:t xml:space="preserve"> </w:t>
      </w:r>
    </w:p>
    <w:p w14:paraId="17C89F2A" w14:textId="77777777" w:rsidR="00947CD8" w:rsidRDefault="00947CD8" w:rsidP="006F7849">
      <w:pPr>
        <w:ind w:firstLine="720"/>
        <w:jc w:val="both"/>
      </w:pPr>
    </w:p>
    <w:p w14:paraId="48D08169" w14:textId="17891455" w:rsidR="008D1CB6" w:rsidRPr="00E12EE8" w:rsidRDefault="001B3D7D" w:rsidP="006F7849">
      <w:pPr>
        <w:jc w:val="both"/>
        <w:rPr>
          <w:b/>
          <w:bCs/>
        </w:rPr>
      </w:pPr>
      <w:r>
        <w:rPr>
          <w:b/>
          <w:bCs/>
        </w:rPr>
        <w:t>Plan of the Collection</w:t>
      </w:r>
    </w:p>
    <w:p w14:paraId="6C103383" w14:textId="585B2D20" w:rsidR="00E12EE8" w:rsidRDefault="00E12EE8" w:rsidP="006F7849">
      <w:pPr>
        <w:ind w:firstLine="720"/>
        <w:jc w:val="both"/>
      </w:pPr>
      <w:r w:rsidRPr="005331EC">
        <w:t>The first section</w:t>
      </w:r>
      <w:r w:rsidR="00A323B0" w:rsidRPr="005331EC">
        <w:t xml:space="preserve"> of this book</w:t>
      </w:r>
      <w:r w:rsidRPr="005331EC">
        <w:t xml:space="preserve"> presents </w:t>
      </w:r>
      <w:r w:rsidR="00312672">
        <w:t>an</w:t>
      </w:r>
      <w:r w:rsidRPr="005331EC">
        <w:t xml:space="preserve"> overview of the </w:t>
      </w:r>
      <w:r w:rsidR="00950BA6">
        <w:t xml:space="preserve">current </w:t>
      </w:r>
      <w:r w:rsidRPr="005331EC">
        <w:t>Russian academic writing context. First, in her agenda-setting essay, “</w:t>
      </w:r>
      <w:r w:rsidR="00312672">
        <w:t>Academic Writing in Russia Beyond Zero Point</w:t>
      </w:r>
      <w:r w:rsidRPr="005331EC">
        <w:t xml:space="preserve">,” </w:t>
      </w:r>
      <w:r w:rsidR="00950BA6">
        <w:t xml:space="preserve">Irina </w:t>
      </w:r>
      <w:proofErr w:type="spellStart"/>
      <w:r w:rsidR="00950BA6">
        <w:t>Korotkina</w:t>
      </w:r>
      <w:proofErr w:type="spellEnd"/>
      <w:r w:rsidRPr="005331EC">
        <w:t xml:space="preserve"> examines the challenges faced by current Russian writing programs, which must cope with the baggage of this field’s Anglophone attachments as well as the residue of the Soviet Union, in which the sharing of scientific research for broad audiences was discouraged. From </w:t>
      </w:r>
      <w:proofErr w:type="spellStart"/>
      <w:r w:rsidR="00950BA6">
        <w:t>Korotkina’s</w:t>
      </w:r>
      <w:proofErr w:type="spellEnd"/>
      <w:r w:rsidRPr="005331EC">
        <w:t xml:space="preserve"> perspective, Russia needs to develop a strong academic literacy curriculum in the Russian language (as well as </w:t>
      </w:r>
      <w:r w:rsidR="00312672">
        <w:t>minority languages</w:t>
      </w:r>
      <w:r w:rsidRPr="005331EC">
        <w:t xml:space="preserve">) and not only in English. </w:t>
      </w:r>
    </w:p>
    <w:p w14:paraId="3CDF1A56" w14:textId="16EDB614" w:rsidR="00950BA6" w:rsidRDefault="00950BA6" w:rsidP="00450930">
      <w:pPr>
        <w:ind w:firstLine="720"/>
        <w:jc w:val="both"/>
      </w:pPr>
      <w:r>
        <w:t xml:space="preserve">In Chapter Two, Elena </w:t>
      </w:r>
      <w:proofErr w:type="spellStart"/>
      <w:r>
        <w:t>Getmanskaya</w:t>
      </w:r>
      <w:proofErr w:type="spellEnd"/>
      <w:r>
        <w:t xml:space="preserve"> examines historical precedents for today’s conversation about writing in Russia. </w:t>
      </w:r>
      <w:r w:rsidRPr="005331EC">
        <w:t xml:space="preserve">Using extensive archival resources, </w:t>
      </w:r>
      <w:r>
        <w:t xml:space="preserve">the author </w:t>
      </w:r>
      <w:r w:rsidRPr="005331EC">
        <w:t xml:space="preserve">illuminates </w:t>
      </w:r>
      <w:r w:rsidRPr="005331EC">
        <w:lastRenderedPageBreak/>
        <w:t>the practice of teaching writing in Russia in the 19</w:t>
      </w:r>
      <w:r w:rsidRPr="005331EC">
        <w:rPr>
          <w:vertAlign w:val="superscript"/>
        </w:rPr>
        <w:t>th</w:t>
      </w:r>
      <w:r w:rsidRPr="005331EC">
        <w:t xml:space="preserve"> century, whe</w:t>
      </w:r>
      <w:r>
        <w:t>n</w:t>
      </w:r>
      <w:r w:rsidRPr="005331EC">
        <w:t xml:space="preserve"> the use of essay writing in secondary and tertiary education was </w:t>
      </w:r>
      <w:r>
        <w:t>moving from a strictly philological exercise associated with language and literature to a research activity designed to develop the overall humanitarian knowledge and civic</w:t>
      </w:r>
      <w:r w:rsidR="00450930">
        <w:t xml:space="preserve"> personhood of high school graduates and university students</w:t>
      </w:r>
      <w:r w:rsidRPr="005331EC">
        <w:t xml:space="preserve">. </w:t>
      </w:r>
      <w:proofErr w:type="spellStart"/>
      <w:r w:rsidR="00450930">
        <w:t>Getmanskaya</w:t>
      </w:r>
      <w:proofErr w:type="spellEnd"/>
      <w:r w:rsidR="00450930">
        <w:t xml:space="preserve"> describes the conflicts that this transition engendered and debates over best practices that foreshadow the current conversation. </w:t>
      </w:r>
    </w:p>
    <w:p w14:paraId="4A40CE1D" w14:textId="3634B558" w:rsidR="00312672" w:rsidRDefault="00312672" w:rsidP="00312672">
      <w:pPr>
        <w:ind w:firstLine="720"/>
        <w:jc w:val="both"/>
      </w:pPr>
      <w:r w:rsidRPr="005331EC">
        <w:t xml:space="preserve">In Chapter </w:t>
      </w:r>
      <w:r>
        <w:t>T</w:t>
      </w:r>
      <w:r w:rsidR="00450930">
        <w:t>hree</w:t>
      </w:r>
      <w:r w:rsidRPr="005331EC">
        <w:t xml:space="preserve">, </w:t>
      </w:r>
      <w:r w:rsidR="00450930">
        <w:t xml:space="preserve">Natalya Smirnova and Anna </w:t>
      </w:r>
      <w:proofErr w:type="spellStart"/>
      <w:r w:rsidR="00450930">
        <w:t>Guseva</w:t>
      </w:r>
      <w:proofErr w:type="spellEnd"/>
      <w:r w:rsidR="002960AF">
        <w:t xml:space="preserve"> </w:t>
      </w:r>
      <w:r>
        <w:t xml:space="preserve">dive deeper into existing writing and pedagogical traditions by examining the learning histories and current writing practices of experienced researchers in the domain of art history. </w:t>
      </w:r>
      <w:r w:rsidRPr="005331EC">
        <w:t xml:space="preserve">Based on interviews with six multilingual Russian art historians, </w:t>
      </w:r>
      <w:r w:rsidR="00450930">
        <w:t xml:space="preserve">Smirnova and </w:t>
      </w:r>
      <w:proofErr w:type="spellStart"/>
      <w:r w:rsidR="00450930">
        <w:t>Guseva</w:t>
      </w:r>
      <w:proofErr w:type="spellEnd"/>
      <w:r w:rsidRPr="005331EC">
        <w:t xml:space="preserve"> reveal the various formal and informal ways in which these scholars </w:t>
      </w:r>
      <w:r w:rsidR="003B665C">
        <w:t xml:space="preserve">have </w:t>
      </w:r>
      <w:r w:rsidRPr="005331EC">
        <w:t>learned to write, mostly in the absence of writing courses. Participants discuss the ways in which the Soviet period shaped the rhetorical orientation of their discipline and the challenges they presently face – access to museums, libraries, and scholarly databases – that are shared by their colleagues in other disciplines.</w:t>
      </w:r>
    </w:p>
    <w:p w14:paraId="748F84AF" w14:textId="4F306B85" w:rsidR="00312672" w:rsidRPr="005331EC" w:rsidRDefault="00312672" w:rsidP="00312672">
      <w:pPr>
        <w:ind w:firstLine="720"/>
        <w:jc w:val="both"/>
      </w:pPr>
      <w:r>
        <w:t xml:space="preserve">Having established some of the ways in which the past informs present conditions, </w:t>
      </w:r>
      <w:r w:rsidRPr="005331EC">
        <w:t xml:space="preserve">Chapter </w:t>
      </w:r>
      <w:r w:rsidR="00450930">
        <w:t>Four</w:t>
      </w:r>
      <w:r w:rsidRPr="005331EC">
        <w:t xml:space="preserve">, “They Teach Writing but They Do Not Write,” </w:t>
      </w:r>
      <w:r w:rsidR="00947CD8">
        <w:t xml:space="preserve">turns </w:t>
      </w:r>
      <w:r>
        <w:t>to</w:t>
      </w:r>
      <w:r w:rsidRPr="005331EC">
        <w:t xml:space="preserve"> a </w:t>
      </w:r>
      <w:r>
        <w:t>quite current</w:t>
      </w:r>
      <w:r w:rsidRPr="005331EC">
        <w:t xml:space="preserve"> conundrum: the educators tasked with teaching their colleagues in other disciplines to write research papers in English – Russian English teachers – tend not to publish their own work. </w:t>
      </w:r>
      <w:r>
        <w:t xml:space="preserve">Author </w:t>
      </w:r>
      <w:r w:rsidR="00450930">
        <w:t xml:space="preserve">Svetlana </w:t>
      </w:r>
      <w:proofErr w:type="spellStart"/>
      <w:r w:rsidR="00450930">
        <w:t>Bogolepova</w:t>
      </w:r>
      <w:proofErr w:type="spellEnd"/>
      <w:r>
        <w:t xml:space="preserve"> indicates that t</w:t>
      </w:r>
      <w:r w:rsidRPr="005331EC">
        <w:t xml:space="preserve">his has become an issue of special concern in the context of Project 5-100, where </w:t>
      </w:r>
      <w:r w:rsidRPr="00947CD8">
        <w:t>all</w:t>
      </w:r>
      <w:r w:rsidRPr="005331EC">
        <w:rPr>
          <w:i/>
          <w:iCs/>
        </w:rPr>
        <w:t xml:space="preserve"> </w:t>
      </w:r>
      <w:r w:rsidRPr="005331EC">
        <w:t xml:space="preserve">faculty are expected and heavily incentivized to publish. Based on a survey of English faculty at </w:t>
      </w:r>
      <w:r w:rsidR="00450930">
        <w:t>several large Russian universities</w:t>
      </w:r>
      <w:r w:rsidRPr="005331EC">
        <w:t xml:space="preserve">, </w:t>
      </w:r>
      <w:proofErr w:type="spellStart"/>
      <w:r w:rsidR="00450930">
        <w:t>Bogolepova</w:t>
      </w:r>
      <w:proofErr w:type="spellEnd"/>
      <w:r w:rsidR="002960AF">
        <w:t xml:space="preserve"> </w:t>
      </w:r>
      <w:r w:rsidRPr="005331EC">
        <w:t xml:space="preserve">offers reasons why language faculty lag behind and provides recommendations for how the issue ought to be addressed. </w:t>
      </w:r>
    </w:p>
    <w:p w14:paraId="54D629EE" w14:textId="29A8218B" w:rsidR="00E12EE8" w:rsidRDefault="00312672" w:rsidP="00312672">
      <w:pPr>
        <w:ind w:firstLine="720"/>
        <w:jc w:val="both"/>
      </w:pPr>
      <w:r>
        <w:t xml:space="preserve">Because university writing centers have been tasked with addressing these needs, Part Two focuses on the development of the writing center model in Russia. </w:t>
      </w:r>
      <w:r w:rsidR="00E12EE8" w:rsidRPr="005331EC">
        <w:t xml:space="preserve">In Chapter </w:t>
      </w:r>
      <w:r>
        <w:t>F</w:t>
      </w:r>
      <w:r w:rsidR="00450930">
        <w:t>ive</w:t>
      </w:r>
      <w:r w:rsidR="00E12EE8" w:rsidRPr="005331EC">
        <w:t xml:space="preserve">, </w:t>
      </w:r>
      <w:r w:rsidR="00450930">
        <w:t xml:space="preserve">Tatiana </w:t>
      </w:r>
      <w:proofErr w:type="spellStart"/>
      <w:r w:rsidR="00450930">
        <w:t>Glushko</w:t>
      </w:r>
      <w:proofErr w:type="spellEnd"/>
      <w:r w:rsidR="00E12EE8" w:rsidRPr="005331EC">
        <w:t xml:space="preserve"> presents the results of interviews with writing center and writing program administrators in Russia, arguing that the development of academic writing in this country is </w:t>
      </w:r>
      <w:r w:rsidR="00E12EE8" w:rsidRPr="005331EC">
        <w:rPr>
          <w:bCs/>
        </w:rPr>
        <w:t xml:space="preserve">a “balancing act” between </w:t>
      </w:r>
      <w:r w:rsidR="00E12EE8" w:rsidRPr="005331EC">
        <w:t xml:space="preserve">immediate needs driven by the market for academic publication and the “long-term educational goals for internationalization” as well as between Russian and Anglophone traditions that are sometimes incompatible. </w:t>
      </w:r>
    </w:p>
    <w:p w14:paraId="1B8F3313" w14:textId="289D5707" w:rsidR="00312672" w:rsidRPr="005331EC" w:rsidRDefault="00312672" w:rsidP="00312672">
      <w:pPr>
        <w:ind w:firstLine="720"/>
        <w:jc w:val="both"/>
      </w:pPr>
      <w:r>
        <w:t xml:space="preserve">Chapter </w:t>
      </w:r>
      <w:r w:rsidR="00450930">
        <w:t>Six</w:t>
      </w:r>
      <w:r>
        <w:t xml:space="preserve"> then offers a close look at one of Russia’s original writing centers: the AWC at HSE-Moscow. Director </w:t>
      </w:r>
      <w:r w:rsidR="00450930">
        <w:t xml:space="preserve">Svetlana </w:t>
      </w:r>
      <w:proofErr w:type="spellStart"/>
      <w:r w:rsidR="00450930">
        <w:t>Suchkova</w:t>
      </w:r>
      <w:proofErr w:type="spellEnd"/>
      <w:r w:rsidR="002960AF">
        <w:t xml:space="preserve"> </w:t>
      </w:r>
      <w:r w:rsidRPr="005331EC">
        <w:t xml:space="preserve">demonstrates how </w:t>
      </w:r>
      <w:r>
        <w:t>writing center structures and methodologies</w:t>
      </w:r>
      <w:r w:rsidRPr="005331EC">
        <w:t xml:space="preserve"> have been adapted to the Russian institutional framework in order to meet the specific needs of faculty researchers. Through data systematically collected on the effectiveness of the Center’s activities, this chapter finds that the AWC model is effective and can be generalized to other institutions in the Russian Federation. </w:t>
      </w:r>
    </w:p>
    <w:p w14:paraId="785C9292" w14:textId="65F68F9F" w:rsidR="00312672" w:rsidRDefault="00947CD8" w:rsidP="00312672">
      <w:pPr>
        <w:ind w:firstLine="720"/>
        <w:jc w:val="both"/>
      </w:pPr>
      <w:r>
        <w:t>Chapter Seven brings us to</w:t>
      </w:r>
      <w:r w:rsidR="00312672">
        <w:t xml:space="preserve"> peer tutoring – a core aspect of writing center work in the United States and Europe that is nascent in Russia. </w:t>
      </w:r>
      <w:r w:rsidR="00450930">
        <w:t xml:space="preserve">Olga </w:t>
      </w:r>
      <w:proofErr w:type="spellStart"/>
      <w:r w:rsidR="00450930">
        <w:t>Aksakalov</w:t>
      </w:r>
      <w:r w:rsidR="00631229">
        <w:t>a</w:t>
      </w:r>
      <w:proofErr w:type="spellEnd"/>
      <w:r w:rsidR="00631229">
        <w:t>,</w:t>
      </w:r>
      <w:r w:rsidR="00450930">
        <w:t xml:space="preserve"> and </w:t>
      </w:r>
      <w:proofErr w:type="gramStart"/>
      <w:r w:rsidR="00450930">
        <w:t>myself</w:t>
      </w:r>
      <w:proofErr w:type="gramEnd"/>
      <w:r w:rsidR="002960AF">
        <w:t xml:space="preserve"> </w:t>
      </w:r>
      <w:r w:rsidR="00312672" w:rsidRPr="005331EC">
        <w:t xml:space="preserve">analyze the results of a collaboration among peer tutors at the New Economic School and LaGuardia Community College in New York City. During the Spring of 2018, tutors </w:t>
      </w:r>
      <w:r w:rsidR="009B6881">
        <w:t xml:space="preserve">and trainees </w:t>
      </w:r>
      <w:r w:rsidR="00312672" w:rsidRPr="005331EC">
        <w:t xml:space="preserve">were asked to take part in a series of </w:t>
      </w:r>
      <w:r w:rsidR="00312672">
        <w:t xml:space="preserve">mediated </w:t>
      </w:r>
      <w:r w:rsidR="00312672" w:rsidRPr="005331EC">
        <w:t xml:space="preserve">exchanges through a </w:t>
      </w:r>
      <w:proofErr w:type="spellStart"/>
      <w:r w:rsidR="00312672" w:rsidRPr="005331EC">
        <w:t>Wordpress</w:t>
      </w:r>
      <w:proofErr w:type="spellEnd"/>
      <w:r w:rsidR="00312672" w:rsidRPr="005331EC">
        <w:t xml:space="preserve"> blog, reflecting on their experiences.</w:t>
      </w:r>
      <w:r w:rsidR="003B665C">
        <w:t xml:space="preserve"> Based on our analysis of their posts and final reflections, we argue </w:t>
      </w:r>
      <w:r w:rsidR="00312672">
        <w:t>that this exercise helped inculcate a sense of transnational professional identity among peer tutors and enabled a sustained discussion of the fraught questions of authority in peer tutoring. We also make recommendations for the use of international exchanges as a training practice for writing center staff.</w:t>
      </w:r>
    </w:p>
    <w:p w14:paraId="05066CD2" w14:textId="7C70F228" w:rsidR="00E12EE8" w:rsidRPr="005331EC" w:rsidRDefault="00312672" w:rsidP="00450930">
      <w:pPr>
        <w:ind w:firstLine="720"/>
        <w:jc w:val="both"/>
      </w:pPr>
      <w:r>
        <w:t xml:space="preserve">Though multilingualism and the need for bilingual (even tri-lingual) writing pedagogies is a feature of many of the foregoing chapters, English still looms very large on this landscape. It is </w:t>
      </w:r>
      <w:r>
        <w:lastRenderedPageBreak/>
        <w:t xml:space="preserve">the target language for most researchers seeking publication in international journals and at times a critical hurdle for them to overcome. As such, applied linguists are playing a considerable role in both the research on and the teaching of academic writing. Part Three is therefore dedicated to the language issue. </w:t>
      </w:r>
      <w:r w:rsidR="00E12EE8" w:rsidRPr="005331EC">
        <w:t xml:space="preserve"> </w:t>
      </w:r>
    </w:p>
    <w:p w14:paraId="0CBC2451" w14:textId="101CC393" w:rsidR="008324D2" w:rsidRDefault="00E12EE8" w:rsidP="00312672">
      <w:pPr>
        <w:jc w:val="both"/>
      </w:pPr>
      <w:r w:rsidRPr="005331EC">
        <w:tab/>
      </w:r>
      <w:r w:rsidR="008324D2" w:rsidRPr="005331EC">
        <w:t xml:space="preserve">Chapter Eight presents the application </w:t>
      </w:r>
      <w:r w:rsidR="008324D2" w:rsidRPr="0004302C">
        <w:t>Paper Cat,</w:t>
      </w:r>
      <w:r w:rsidR="008324D2" w:rsidRPr="005331EC">
        <w:t xml:space="preserve"> developed by researchers at the Higher School of Economics, Perm. This program, as </w:t>
      </w:r>
      <w:r w:rsidR="00450930">
        <w:t xml:space="preserve">Elizaveta Smirnova, Svetlana </w:t>
      </w:r>
      <w:proofErr w:type="spellStart"/>
      <w:r w:rsidR="00450930">
        <w:t>Strinyuk</w:t>
      </w:r>
      <w:proofErr w:type="spellEnd"/>
      <w:r w:rsidR="00450930">
        <w:t xml:space="preserve">, and Viacheslav </w:t>
      </w:r>
      <w:proofErr w:type="spellStart"/>
      <w:r w:rsidR="00450930">
        <w:t>Lanin</w:t>
      </w:r>
      <w:proofErr w:type="spellEnd"/>
      <w:r w:rsidR="008324D2" w:rsidRPr="005331EC">
        <w:t xml:space="preserve"> argue, goes beyond general grammar checkers like Gramm</w:t>
      </w:r>
      <w:r w:rsidR="002960AF">
        <w:t>a</w:t>
      </w:r>
      <w:r w:rsidR="008324D2" w:rsidRPr="005331EC">
        <w:t xml:space="preserve">rly to identify the specific linguistic features of academic discourse based on an analysis of the existing corpus of academic writing across a variety of fields. The purpose is to assist </w:t>
      </w:r>
      <w:proofErr w:type="gramStart"/>
      <w:r w:rsidR="00947CD8">
        <w:t>second-language</w:t>
      </w:r>
      <w:proofErr w:type="gramEnd"/>
      <w:r w:rsidR="00947CD8">
        <w:t xml:space="preserve"> </w:t>
      </w:r>
      <w:r w:rsidR="00896B79">
        <w:t>(</w:t>
      </w:r>
      <w:r w:rsidR="008324D2" w:rsidRPr="005331EC">
        <w:t>L2</w:t>
      </w:r>
      <w:r w:rsidR="00896B79">
        <w:t>)</w:t>
      </w:r>
      <w:r w:rsidR="008324D2" w:rsidRPr="005331EC">
        <w:t xml:space="preserve"> writers in the production of their own texts and to assist EAP instructors in evaluating the writing of their students and writing center clients as well as designing lessons that target the features of academic discourse that cause the most problems. </w:t>
      </w:r>
    </w:p>
    <w:p w14:paraId="57442D07" w14:textId="53184BA3" w:rsidR="00312672" w:rsidRPr="005331EC" w:rsidRDefault="00312672" w:rsidP="00312672">
      <w:pPr>
        <w:jc w:val="both"/>
      </w:pPr>
      <w:r>
        <w:tab/>
        <w:t>Chapter Nine continues this computational theme</w:t>
      </w:r>
      <w:r w:rsidR="00450930">
        <w:t xml:space="preserve">. Olga </w:t>
      </w:r>
      <w:proofErr w:type="spellStart"/>
      <w:r w:rsidR="00450930">
        <w:t>Vinogradova</w:t>
      </w:r>
      <w:proofErr w:type="spellEnd"/>
      <w:r w:rsidR="00450930">
        <w:t xml:space="preserve">, Anna </w:t>
      </w:r>
      <w:proofErr w:type="spellStart"/>
      <w:r w:rsidR="00450930">
        <w:t>Viklova</w:t>
      </w:r>
      <w:proofErr w:type="spellEnd"/>
      <w:r w:rsidR="00450930">
        <w:t xml:space="preserve">, and Mikhail </w:t>
      </w:r>
      <w:proofErr w:type="spellStart"/>
      <w:r w:rsidR="00450930">
        <w:t>Paporotskiy</w:t>
      </w:r>
      <w:proofErr w:type="spellEnd"/>
      <w:r w:rsidR="002960AF">
        <w:t xml:space="preserve"> </w:t>
      </w:r>
      <w:r>
        <w:t xml:space="preserve">present the results of corpus research on </w:t>
      </w:r>
      <w:proofErr w:type="gramStart"/>
      <w:r w:rsidR="00947CD8">
        <w:t>first-language</w:t>
      </w:r>
      <w:proofErr w:type="gramEnd"/>
      <w:r w:rsidR="00947CD8">
        <w:t xml:space="preserve"> </w:t>
      </w:r>
      <w:r w:rsidR="00896B79">
        <w:t>(</w:t>
      </w:r>
      <w:r>
        <w:t>L1</w:t>
      </w:r>
      <w:r w:rsidR="00896B79">
        <w:t>)</w:t>
      </w:r>
      <w:r>
        <w:t xml:space="preserve"> interference in the use of punctuation in English. Punctuation, they argue, is both understudied and under-taught to </w:t>
      </w:r>
      <w:r w:rsidR="003B665C">
        <w:t>English language learners,</w:t>
      </w:r>
      <w:r>
        <w:t xml:space="preserve"> and the results of their study of intermediate and advanced writing </w:t>
      </w:r>
      <w:r w:rsidR="003B665C">
        <w:t xml:space="preserve">by Russian students </w:t>
      </w:r>
      <w:r>
        <w:t xml:space="preserve">shows that </w:t>
      </w:r>
      <w:r w:rsidR="003B665C">
        <w:t>Russian</w:t>
      </w:r>
      <w:r w:rsidR="00947CD8">
        <w:t xml:space="preserve"> </w:t>
      </w:r>
      <w:r w:rsidR="003B665C">
        <w:t>speakers</w:t>
      </w:r>
      <w:r>
        <w:t xml:space="preserve"> continue to apply Russian punctuation rules to English and do so in ways that make their communications less clear and effective. They note the most important differences and argue that punctuation simply cannot be ignored in language teaching, which it unfortunately often is. </w:t>
      </w:r>
    </w:p>
    <w:p w14:paraId="4950B080" w14:textId="3EF0B6B4" w:rsidR="008324D2" w:rsidRPr="005331EC" w:rsidRDefault="00A2071C" w:rsidP="00450930">
      <w:pPr>
        <w:ind w:firstLine="720"/>
        <w:jc w:val="both"/>
      </w:pPr>
      <w:r>
        <w:t xml:space="preserve">Part </w:t>
      </w:r>
      <w:r w:rsidR="00312672">
        <w:t>Four</w:t>
      </w:r>
      <w:r>
        <w:t xml:space="preserve"> </w:t>
      </w:r>
      <w:r w:rsidR="00312672">
        <w:t>discusses the teaching of writing in undergraduate classrooms.</w:t>
      </w:r>
      <w:r w:rsidR="00450930">
        <w:t xml:space="preserve"> </w:t>
      </w:r>
      <w:r w:rsidR="008324D2" w:rsidRPr="005331EC">
        <w:t xml:space="preserve">University teaching during the Soviet period largely favored oral </w:t>
      </w:r>
      <w:r w:rsidR="00312672" w:rsidRPr="005331EC">
        <w:t>assessment</w:t>
      </w:r>
      <w:r w:rsidR="009B6881">
        <w:t>,</w:t>
      </w:r>
      <w:r w:rsidR="00312672" w:rsidRPr="005331EC">
        <w:t xml:space="preserve"> but</w:t>
      </w:r>
      <w:r w:rsidR="008324D2" w:rsidRPr="005331EC">
        <w:t xml:space="preserve"> writing as a mode of testing students</w:t>
      </w:r>
      <w:r w:rsidR="00450930">
        <w:t>’</w:t>
      </w:r>
      <w:r w:rsidR="008324D2" w:rsidRPr="005331EC">
        <w:t xml:space="preserve"> skills and knowledge is becoming more common. Students taking the Unified State Exam (a university entrance exam) are now tasked with writing an essay modelled after the writing tasks on international English tests</w:t>
      </w:r>
      <w:r w:rsidR="00947CD8">
        <w:t>,</w:t>
      </w:r>
      <w:r w:rsidR="008324D2" w:rsidRPr="005331EC">
        <w:t xml:space="preserve"> and more top-tier universities are offering academic writing courses to their students, usually, again, in English. As </w:t>
      </w:r>
      <w:r w:rsidR="00450930">
        <w:t xml:space="preserve">Tatiana </w:t>
      </w:r>
      <w:proofErr w:type="spellStart"/>
      <w:r w:rsidR="00450930">
        <w:t>Golechkova</w:t>
      </w:r>
      <w:proofErr w:type="spellEnd"/>
      <w:r w:rsidR="002960AF">
        <w:t xml:space="preserve"> </w:t>
      </w:r>
      <w:r w:rsidR="008324D2" w:rsidRPr="005331EC">
        <w:t xml:space="preserve">indicates in Chapter </w:t>
      </w:r>
      <w:r w:rsidR="00450930">
        <w:t>Ten</w:t>
      </w:r>
      <w:r w:rsidR="008324D2" w:rsidRPr="005331EC">
        <w:t xml:space="preserve">, the testing regime along with other features of secondary school preparation leads to a mismatch in expectations between students and university faculty. </w:t>
      </w:r>
      <w:proofErr w:type="spellStart"/>
      <w:r w:rsidR="00450930">
        <w:t>Golechkova</w:t>
      </w:r>
      <w:proofErr w:type="spellEnd"/>
      <w:r w:rsidR="002960AF">
        <w:t xml:space="preserve"> </w:t>
      </w:r>
      <w:r w:rsidR="00312672">
        <w:t xml:space="preserve">applies the research on secondary-to-tertiary transition problems to the Russian context, </w:t>
      </w:r>
      <w:r w:rsidR="008324D2" w:rsidRPr="005331EC">
        <w:t>examin</w:t>
      </w:r>
      <w:r w:rsidR="00312672">
        <w:t>ing</w:t>
      </w:r>
      <w:r w:rsidR="008324D2" w:rsidRPr="005331EC">
        <w:t xml:space="preserve"> the sources of these mismatched expectations and suggest</w:t>
      </w:r>
      <w:r w:rsidR="00312672">
        <w:t>ing</w:t>
      </w:r>
      <w:r w:rsidR="008324D2" w:rsidRPr="005331EC">
        <w:t xml:space="preserve"> ways </w:t>
      </w:r>
      <w:r w:rsidR="00312672">
        <w:t>in which academic writing classrooms adopting an academic literacies framework can</w:t>
      </w:r>
      <w:r w:rsidR="008324D2" w:rsidRPr="005331EC">
        <w:t xml:space="preserve"> assist students in their transition to university studies.</w:t>
      </w:r>
    </w:p>
    <w:p w14:paraId="5FCEDB37" w14:textId="1310DF00" w:rsidR="001B3D7D" w:rsidRDefault="00312672" w:rsidP="00947CD8">
      <w:pPr>
        <w:ind w:firstLine="720"/>
        <w:jc w:val="both"/>
      </w:pPr>
      <w:r>
        <w:t>Finally, C</w:t>
      </w:r>
      <w:r w:rsidR="008324D2" w:rsidRPr="005331EC">
        <w:t xml:space="preserve">hapter </w:t>
      </w:r>
      <w:r w:rsidR="00450930">
        <w:t>Eleven</w:t>
      </w:r>
      <w:r w:rsidR="008324D2" w:rsidRPr="005331EC">
        <w:t xml:space="preserve"> explores the specific disciplinary context of the literature classroom, as </w:t>
      </w:r>
      <w:r w:rsidR="00450930">
        <w:t>Irina Kuznetsova-Simpson</w:t>
      </w:r>
      <w:r w:rsidR="002960AF">
        <w:t xml:space="preserve"> </w:t>
      </w:r>
      <w:r w:rsidR="008324D2" w:rsidRPr="005331EC">
        <w:t xml:space="preserve">argues for the substitution of linguistic approaches with reader-response approaches to the teaching of writing to undergraduate students in literature courses. Drawing on her experience teaching an English-language drama and theatre course, </w:t>
      </w:r>
      <w:r w:rsidR="00450930">
        <w:t>Kuznetsova-Simpson</w:t>
      </w:r>
      <w:r w:rsidR="002960AF">
        <w:t xml:space="preserve"> </w:t>
      </w:r>
      <w:r w:rsidR="008324D2" w:rsidRPr="005331EC">
        <w:t>further makes the case that performance in literature courses is “a very effective bridge between both skills – reading and writing – as well as a tool for sharpening students’ analytical, creative, and autonomous writing skills.”</w:t>
      </w:r>
    </w:p>
    <w:p w14:paraId="2288D175" w14:textId="77777777" w:rsidR="00947CD8" w:rsidRDefault="00947CD8" w:rsidP="006F7849">
      <w:pPr>
        <w:jc w:val="both"/>
        <w:rPr>
          <w:b/>
          <w:bCs/>
        </w:rPr>
      </w:pPr>
    </w:p>
    <w:p w14:paraId="6BE87046" w14:textId="0947CCCF" w:rsidR="002E05B0" w:rsidRDefault="001B3D7D" w:rsidP="006F7849">
      <w:pPr>
        <w:jc w:val="both"/>
      </w:pPr>
      <w:r>
        <w:rPr>
          <w:b/>
          <w:bCs/>
        </w:rPr>
        <w:t>Final Words</w:t>
      </w:r>
    </w:p>
    <w:p w14:paraId="1C34BCEA" w14:textId="3855A8DF" w:rsidR="00725A67" w:rsidRDefault="00B36BDA" w:rsidP="006F7849">
      <w:pPr>
        <w:ind w:firstLine="720"/>
        <w:jc w:val="both"/>
      </w:pPr>
      <w:r>
        <w:t>Lying beneath the surface of each one of these essays is an essential question: why write? Why write for an international audience? Why write in English? This is a question that our authors study wh</w:t>
      </w:r>
      <w:r w:rsidR="003F4B22">
        <w:t>ile</w:t>
      </w:r>
      <w:r>
        <w:t xml:space="preserve"> also seeking to answer it for themselves. </w:t>
      </w:r>
      <w:r w:rsidR="00725A67">
        <w:t xml:space="preserve">That a group of scholar-teachers in Russia should want to get together to produce a volume for an American university press is not an obvious proposition. For one thing, </w:t>
      </w:r>
      <w:r w:rsidR="003B665C">
        <w:t>many</w:t>
      </w:r>
      <w:r w:rsidR="00725A67">
        <w:t xml:space="preserve"> us are teachers who primarily transmit knowledge through the classroom. Furthermore, many of the research questions that arise do so out of local and </w:t>
      </w:r>
      <w:r w:rsidR="00725A67">
        <w:lastRenderedPageBreak/>
        <w:t xml:space="preserve">institutional interests without always having </w:t>
      </w:r>
      <w:r w:rsidR="003B665C">
        <w:t>obvious</w:t>
      </w:r>
      <w:r w:rsidR="00725A67">
        <w:t xml:space="preserve"> connections to broader disciplinary concerns at the international level. If they felt compelled, nevertheless, to write, our contributors could all have easily published these essays in Russian journals, and they could have done so</w:t>
      </w:r>
      <w:r w:rsidR="001B7E47">
        <w:t xml:space="preserve"> </w:t>
      </w:r>
      <w:r w:rsidR="00725A67">
        <w:t>with a much faster turnaround time</w:t>
      </w:r>
      <w:r w:rsidR="001B7E47">
        <w:t xml:space="preserve"> than an edited collection affords</w:t>
      </w:r>
      <w:r w:rsidR="00725A67">
        <w:t>. So why do this?</w:t>
      </w:r>
    </w:p>
    <w:p w14:paraId="213EA6D7" w14:textId="493C389F" w:rsidR="00F32440" w:rsidRDefault="003B665C" w:rsidP="006F7849">
      <w:pPr>
        <w:ind w:firstLine="720"/>
        <w:jc w:val="both"/>
      </w:pPr>
      <w:r>
        <w:t>Some of the possible answers</w:t>
      </w:r>
      <w:r w:rsidR="00B36BDA">
        <w:t xml:space="preserve"> are unsatisfying. </w:t>
      </w:r>
      <w:r w:rsidR="00725A67">
        <w:t>A</w:t>
      </w:r>
      <w:r w:rsidR="00B36BDA">
        <w:t xml:space="preserve">s </w:t>
      </w:r>
      <w:proofErr w:type="spellStart"/>
      <w:r w:rsidR="00450930">
        <w:t>Bogolepova’s</w:t>
      </w:r>
      <w:proofErr w:type="spellEnd"/>
      <w:r w:rsidR="002960AF">
        <w:t xml:space="preserve"> </w:t>
      </w:r>
      <w:r w:rsidR="00B36BDA">
        <w:t>research suggests</w:t>
      </w:r>
      <w:r w:rsidR="00450930">
        <w:t xml:space="preserve"> (Chapter 4)</w:t>
      </w:r>
      <w:r w:rsidR="00B36BDA">
        <w:t xml:space="preserve">, it may be because such writing is – through financial incentives or with the threat of job loss – demanded by one’s institution and one’s government. </w:t>
      </w:r>
      <w:r w:rsidR="00F16D32">
        <w:t xml:space="preserve">As the practitioners represented in this book attest, the case beyond professional survival is often unclear to the very writers these programs were designed to help. Yet they are motivated in their work and in their chapter contributions by the idea that there is something fundamentally satisfying and valuable about participating in a broader academic conversation. </w:t>
      </w:r>
      <w:r w:rsidR="00F32440">
        <w:t xml:space="preserve">By contributing to this volume, by attending conferences abroad, by inviting prominent scholars to conferences in Russia, the members of this field are seeking not only international expertise to assist them in their own efforts but international presence and influence. It is our earnest hope that our colleagues abroad find things of value in our </w:t>
      </w:r>
      <w:proofErr w:type="gramStart"/>
      <w:r w:rsidR="00F32440">
        <w:t>locally-inflected</w:t>
      </w:r>
      <w:proofErr w:type="gramEnd"/>
      <w:r w:rsidR="00F32440">
        <w:t xml:space="preserve"> but globally-oriented work. </w:t>
      </w:r>
    </w:p>
    <w:p w14:paraId="2CFF2A69" w14:textId="3468CD1D" w:rsidR="00725A67" w:rsidRDefault="00725A67" w:rsidP="006F7849">
      <w:pPr>
        <w:ind w:firstLine="720"/>
        <w:jc w:val="both"/>
      </w:pPr>
      <w:r>
        <w:t xml:space="preserve">Perhaps the signal contribution that Russian writing programs and scholars can make is the very fact that so much of this work is being done with professional writers. To be honest, given my American bias and pedagogical interest in students and the freshman seminar, I have </w:t>
      </w:r>
      <w:r w:rsidR="001B7E47">
        <w:t xml:space="preserve">sometimes regarded </w:t>
      </w:r>
      <w:r>
        <w:t xml:space="preserve">this researcher focus as a kind of problem, as if it were </w:t>
      </w:r>
      <w:r w:rsidR="001B7E47">
        <w:t xml:space="preserve">drawing resources away from </w:t>
      </w:r>
      <w:r>
        <w:t>the urgent work of preparing the next generation. But what we are seeing here in Russia is no less than the transformation of an entire culture of academic communication, from the top down. These changes involve not only the language and modalities of communication but new standards of academic ethics and a new understanding of the purpose of writing and publishing. That this transformation should be uneven is only to be expected, but the essays presented here are evidence of the fact that it is occurring. In contrast to the inward, nationalist turn of Russian and U</w:t>
      </w:r>
      <w:r w:rsidR="00BD0BB7">
        <w:t xml:space="preserve">. </w:t>
      </w:r>
      <w:r>
        <w:t>S. politics</w:t>
      </w:r>
      <w:r w:rsidR="007B52EB">
        <w:t xml:space="preserve"> seen over the past few years</w:t>
      </w:r>
      <w:r>
        <w:t xml:space="preserve">, the globalization of academic culture </w:t>
      </w:r>
      <w:r w:rsidR="003B665C">
        <w:t>seems to be continuing</w:t>
      </w:r>
      <w:r>
        <w:t xml:space="preserve"> apace. </w:t>
      </w:r>
    </w:p>
    <w:p w14:paraId="3391A7DB" w14:textId="75E1399F" w:rsidR="00815B22" w:rsidRDefault="00815B22" w:rsidP="006F7849">
      <w:pPr>
        <w:ind w:firstLine="720"/>
        <w:jc w:val="both"/>
      </w:pPr>
    </w:p>
    <w:p w14:paraId="71CD1191" w14:textId="77777777" w:rsidR="00F32440" w:rsidRDefault="00F32440" w:rsidP="006F7849">
      <w:pPr>
        <w:jc w:val="both"/>
      </w:pPr>
      <w:r>
        <w:br w:type="page"/>
      </w:r>
    </w:p>
    <w:p w14:paraId="023FA9BB" w14:textId="70A1EEA0" w:rsidR="000369BA" w:rsidRDefault="00F32440" w:rsidP="00947CD8">
      <w:pPr>
        <w:jc w:val="center"/>
        <w:rPr>
          <w:bCs/>
        </w:rPr>
      </w:pPr>
      <w:r w:rsidRPr="00947CD8">
        <w:rPr>
          <w:bCs/>
        </w:rPr>
        <w:lastRenderedPageBreak/>
        <w:t>References</w:t>
      </w:r>
    </w:p>
    <w:p w14:paraId="0F4C5B93" w14:textId="77777777" w:rsidR="00947CD8" w:rsidRPr="003640C0" w:rsidRDefault="00947CD8" w:rsidP="00947CD8">
      <w:pPr>
        <w:jc w:val="center"/>
        <w:rPr>
          <w:b/>
          <w:bCs/>
        </w:rPr>
      </w:pPr>
    </w:p>
    <w:p w14:paraId="4E032636" w14:textId="172001BB" w:rsidR="00947CD8" w:rsidRDefault="00947CD8" w:rsidP="00947CD8">
      <w:pPr>
        <w:ind w:left="720" w:hanging="720"/>
      </w:pPr>
      <w:r>
        <w:t xml:space="preserve">Academic Writing Center. (n.d.) About AWC. HSE University. </w:t>
      </w:r>
      <w:r w:rsidRPr="00947CD8">
        <w:t>https://academics.hse.ru/en/awc/about</w:t>
      </w:r>
    </w:p>
    <w:p w14:paraId="4580650F" w14:textId="09143F64" w:rsidR="00947CD8" w:rsidRDefault="00947CD8" w:rsidP="00947CD8">
      <w:pPr>
        <w:ind w:left="720" w:hanging="720"/>
      </w:pPr>
      <w:r>
        <w:t xml:space="preserve">Academic Writing University Center. (n.d.) Home. NUST MISIS Writing Center. </w:t>
      </w:r>
      <w:r w:rsidRPr="00947CD8">
        <w:t>http://awuc.misis.ru/</w:t>
      </w:r>
      <w:r>
        <w:t xml:space="preserve"> </w:t>
      </w:r>
    </w:p>
    <w:p w14:paraId="37939873" w14:textId="48F3A150" w:rsidR="0021208D" w:rsidRDefault="00C21E52" w:rsidP="00947CD8">
      <w:pPr>
        <w:ind w:left="720" w:hanging="720"/>
      </w:pPr>
      <w:proofErr w:type="spellStart"/>
      <w:r>
        <w:t>Altbach</w:t>
      </w:r>
      <w:proofErr w:type="spellEnd"/>
      <w:r>
        <w:t>, P</w:t>
      </w:r>
      <w:r w:rsidR="00E47779">
        <w:t xml:space="preserve">. </w:t>
      </w:r>
      <w:r>
        <w:t>G</w:t>
      </w:r>
      <w:r w:rsidR="00E47779">
        <w:t>.,</w:t>
      </w:r>
      <w:r w:rsidR="003C5710">
        <w:t xml:space="preserve"> &amp;</w:t>
      </w:r>
      <w:r>
        <w:t xml:space="preserve"> Knight, J. (2007). The internationalization of higher education: Motivations and realities. </w:t>
      </w:r>
      <w:r>
        <w:rPr>
          <w:i/>
          <w:iCs/>
        </w:rPr>
        <w:t>Journal of Studies in International Education</w:t>
      </w:r>
      <w:r w:rsidR="00E47779">
        <w:rPr>
          <w:iCs/>
        </w:rPr>
        <w:t>,</w:t>
      </w:r>
      <w:r>
        <w:rPr>
          <w:i/>
          <w:iCs/>
        </w:rPr>
        <w:t xml:space="preserve"> </w:t>
      </w:r>
      <w:r w:rsidR="003C5710">
        <w:rPr>
          <w:i/>
          <w:iCs/>
        </w:rPr>
        <w:t>11</w:t>
      </w:r>
      <w:r w:rsidR="003C5710">
        <w:t>(3-4)</w:t>
      </w:r>
      <w:r w:rsidR="00E47779">
        <w:t>,</w:t>
      </w:r>
      <w:r w:rsidR="003C5710">
        <w:t xml:space="preserve"> 290-305.</w:t>
      </w:r>
    </w:p>
    <w:p w14:paraId="79ED2937" w14:textId="54E194D6" w:rsidR="003C5710" w:rsidRDefault="0021208D" w:rsidP="00947CD8">
      <w:pPr>
        <w:ind w:left="720" w:hanging="720"/>
      </w:pPr>
      <w:r>
        <w:t xml:space="preserve">Arnold, L.R., </w:t>
      </w:r>
      <w:proofErr w:type="spellStart"/>
      <w:r>
        <w:t>Nebel</w:t>
      </w:r>
      <w:proofErr w:type="spellEnd"/>
      <w:r>
        <w:t>, A</w:t>
      </w:r>
      <w:r w:rsidR="00E47779">
        <w:t>.,</w:t>
      </w:r>
      <w:r>
        <w:t xml:space="preserve"> &amp; </w:t>
      </w:r>
      <w:proofErr w:type="spellStart"/>
      <w:r>
        <w:t>Ronesi</w:t>
      </w:r>
      <w:proofErr w:type="spellEnd"/>
      <w:r>
        <w:t xml:space="preserve">, L. (2017). </w:t>
      </w:r>
      <w:r>
        <w:rPr>
          <w:i/>
          <w:iCs/>
        </w:rPr>
        <w:t xml:space="preserve">Emerging </w:t>
      </w:r>
      <w:r w:rsidR="00E47779">
        <w:rPr>
          <w:i/>
          <w:iCs/>
        </w:rPr>
        <w:t>w</w:t>
      </w:r>
      <w:r>
        <w:rPr>
          <w:i/>
          <w:iCs/>
        </w:rPr>
        <w:t xml:space="preserve">riting </w:t>
      </w:r>
      <w:r w:rsidR="00E47779">
        <w:rPr>
          <w:i/>
          <w:iCs/>
        </w:rPr>
        <w:t>r</w:t>
      </w:r>
      <w:r>
        <w:rPr>
          <w:i/>
          <w:iCs/>
        </w:rPr>
        <w:t xml:space="preserve">esearch from the Middle East-North Africa </w:t>
      </w:r>
      <w:r w:rsidR="00E47779">
        <w:rPr>
          <w:i/>
          <w:iCs/>
        </w:rPr>
        <w:t>r</w:t>
      </w:r>
      <w:r>
        <w:rPr>
          <w:i/>
          <w:iCs/>
        </w:rPr>
        <w:t xml:space="preserve">egion. </w:t>
      </w:r>
      <w:r>
        <w:t>WAC Clearinghouse.</w:t>
      </w:r>
    </w:p>
    <w:p w14:paraId="22AEC6A9" w14:textId="41B09C94" w:rsidR="0021208D" w:rsidRDefault="0021208D" w:rsidP="00947CD8">
      <w:pPr>
        <w:ind w:left="720" w:hanging="720"/>
      </w:pPr>
      <w:r>
        <w:t>Bazerman, C., Dean, C., Early, J., Lunsford, K., Null, S., Rogers, P</w:t>
      </w:r>
      <w:r w:rsidR="00E47779">
        <w:t>.,</w:t>
      </w:r>
      <w:r>
        <w:t xml:space="preserve"> &amp; </w:t>
      </w:r>
      <w:proofErr w:type="spellStart"/>
      <w:r>
        <w:t>Stansell</w:t>
      </w:r>
      <w:proofErr w:type="spellEnd"/>
      <w:r>
        <w:t xml:space="preserve">, A. (2012). </w:t>
      </w:r>
      <w:r>
        <w:rPr>
          <w:i/>
          <w:iCs/>
        </w:rPr>
        <w:t xml:space="preserve">International </w:t>
      </w:r>
      <w:r w:rsidR="00E47779">
        <w:rPr>
          <w:i/>
          <w:iCs/>
        </w:rPr>
        <w:t>a</w:t>
      </w:r>
      <w:r>
        <w:rPr>
          <w:i/>
          <w:iCs/>
        </w:rPr>
        <w:t xml:space="preserve">dvances in </w:t>
      </w:r>
      <w:r w:rsidR="00E47779">
        <w:rPr>
          <w:i/>
          <w:iCs/>
        </w:rPr>
        <w:t>w</w:t>
      </w:r>
      <w:r>
        <w:rPr>
          <w:i/>
          <w:iCs/>
        </w:rPr>
        <w:t xml:space="preserve">riting </w:t>
      </w:r>
      <w:r w:rsidR="00E47779">
        <w:rPr>
          <w:i/>
          <w:iCs/>
        </w:rPr>
        <w:t>r</w:t>
      </w:r>
      <w:r>
        <w:rPr>
          <w:i/>
          <w:iCs/>
        </w:rPr>
        <w:t xml:space="preserve">esearch. </w:t>
      </w:r>
      <w:r>
        <w:t>WAC Clearinghouse.</w:t>
      </w:r>
    </w:p>
    <w:p w14:paraId="687BA431" w14:textId="214BB9C9" w:rsidR="00C21E52" w:rsidRDefault="003C5710" w:rsidP="00947CD8">
      <w:pPr>
        <w:ind w:left="720" w:hanging="720"/>
      </w:pPr>
      <w:r>
        <w:t>Brooks, R</w:t>
      </w:r>
      <w:r w:rsidR="00E47779">
        <w:t>.,</w:t>
      </w:r>
      <w:r>
        <w:t xml:space="preserve"> &amp; Waters, J. (2011). </w:t>
      </w:r>
      <w:r>
        <w:rPr>
          <w:i/>
          <w:iCs/>
        </w:rPr>
        <w:t xml:space="preserve">Student </w:t>
      </w:r>
      <w:r w:rsidR="00E47779">
        <w:rPr>
          <w:i/>
          <w:iCs/>
        </w:rPr>
        <w:t>m</w:t>
      </w:r>
      <w:r>
        <w:rPr>
          <w:i/>
          <w:iCs/>
        </w:rPr>
        <w:t xml:space="preserve">obilities, </w:t>
      </w:r>
      <w:r w:rsidR="00E47779">
        <w:rPr>
          <w:i/>
          <w:iCs/>
        </w:rPr>
        <w:t>m</w:t>
      </w:r>
      <w:r>
        <w:rPr>
          <w:i/>
          <w:iCs/>
        </w:rPr>
        <w:t xml:space="preserve">igration and the </w:t>
      </w:r>
      <w:r w:rsidR="00E47779">
        <w:rPr>
          <w:i/>
          <w:iCs/>
        </w:rPr>
        <w:t>i</w:t>
      </w:r>
      <w:r>
        <w:rPr>
          <w:i/>
          <w:iCs/>
        </w:rPr>
        <w:t xml:space="preserve">nternationalization of </w:t>
      </w:r>
      <w:r w:rsidR="006664B1">
        <w:rPr>
          <w:i/>
          <w:iCs/>
        </w:rPr>
        <w:t>h</w:t>
      </w:r>
      <w:r>
        <w:rPr>
          <w:i/>
          <w:iCs/>
        </w:rPr>
        <w:t xml:space="preserve">igher </w:t>
      </w:r>
      <w:r w:rsidR="006664B1">
        <w:rPr>
          <w:i/>
          <w:iCs/>
        </w:rPr>
        <w:t>e</w:t>
      </w:r>
      <w:r>
        <w:rPr>
          <w:i/>
          <w:iCs/>
        </w:rPr>
        <w:t xml:space="preserve">ducation. </w:t>
      </w:r>
      <w:r>
        <w:t>Palgrave.</w:t>
      </w:r>
    </w:p>
    <w:p w14:paraId="71231EF2" w14:textId="2D169577" w:rsidR="00947CD8" w:rsidRDefault="00947CD8" w:rsidP="00947CD8">
      <w:pPr>
        <w:ind w:left="720" w:hanging="720"/>
      </w:pPr>
      <w:r>
        <w:t xml:space="preserve">Center for Academic Writing “Impulse”. (n.d.) About us. University of Tyumen. </w:t>
      </w:r>
      <w:r w:rsidRPr="00947CD8">
        <w:t>https://cawi.utmn.ru/eng/about/</w:t>
      </w:r>
    </w:p>
    <w:p w14:paraId="74229CAB" w14:textId="31AB7395" w:rsidR="006F7849" w:rsidRDefault="00F32440" w:rsidP="00947CD8">
      <w:pPr>
        <w:ind w:left="720" w:hanging="720"/>
      </w:pPr>
      <w:r>
        <w:t>Donahue</w:t>
      </w:r>
      <w:r w:rsidRPr="00F32440">
        <w:t xml:space="preserve">, </w:t>
      </w:r>
      <w:r>
        <w:t>C</w:t>
      </w:r>
      <w:r w:rsidRPr="00F32440">
        <w:t xml:space="preserve">. </w:t>
      </w:r>
      <w:r>
        <w:t xml:space="preserve">(2009). “Internationalization” and </w:t>
      </w:r>
      <w:r w:rsidR="006664B1">
        <w:t>c</w:t>
      </w:r>
      <w:r>
        <w:t xml:space="preserve">omposition </w:t>
      </w:r>
      <w:r w:rsidR="006664B1">
        <w:t>s</w:t>
      </w:r>
      <w:r>
        <w:t xml:space="preserve">tudies: Reorienting the </w:t>
      </w:r>
      <w:r w:rsidR="00C21E52">
        <w:t>d</w:t>
      </w:r>
      <w:r>
        <w:t xml:space="preserve">iscourse. </w:t>
      </w:r>
      <w:r>
        <w:rPr>
          <w:i/>
          <w:iCs/>
        </w:rPr>
        <w:t>College</w:t>
      </w:r>
      <w:r w:rsidRPr="00F44685">
        <w:rPr>
          <w:i/>
          <w:iCs/>
        </w:rPr>
        <w:t xml:space="preserve"> </w:t>
      </w:r>
      <w:r>
        <w:rPr>
          <w:i/>
          <w:iCs/>
        </w:rPr>
        <w:t>Composition</w:t>
      </w:r>
      <w:r w:rsidRPr="00F44685">
        <w:rPr>
          <w:i/>
          <w:iCs/>
        </w:rPr>
        <w:t xml:space="preserve"> </w:t>
      </w:r>
      <w:r>
        <w:rPr>
          <w:i/>
          <w:iCs/>
        </w:rPr>
        <w:t>and</w:t>
      </w:r>
      <w:r w:rsidRPr="00F44685">
        <w:rPr>
          <w:i/>
          <w:iCs/>
        </w:rPr>
        <w:t xml:space="preserve"> </w:t>
      </w:r>
      <w:r>
        <w:rPr>
          <w:i/>
          <w:iCs/>
        </w:rPr>
        <w:t>Communication</w:t>
      </w:r>
      <w:r w:rsidR="006664B1">
        <w:rPr>
          <w:iCs/>
        </w:rPr>
        <w:t>,</w:t>
      </w:r>
      <w:r w:rsidRPr="00F44685">
        <w:rPr>
          <w:i/>
          <w:iCs/>
        </w:rPr>
        <w:t xml:space="preserve"> 61</w:t>
      </w:r>
      <w:r w:rsidRPr="00F44685">
        <w:t>(2)</w:t>
      </w:r>
      <w:r w:rsidR="006664B1">
        <w:t>,</w:t>
      </w:r>
      <w:r w:rsidRPr="00F44685">
        <w:t xml:space="preserve"> 212-243.</w:t>
      </w:r>
    </w:p>
    <w:p w14:paraId="1100DFB2" w14:textId="1A9609ED" w:rsidR="006F7849" w:rsidRDefault="006F7849" w:rsidP="00947CD8">
      <w:pPr>
        <w:ind w:left="720" w:hanging="720"/>
      </w:pPr>
      <w:proofErr w:type="spellStart"/>
      <w:r>
        <w:t>Korotkina</w:t>
      </w:r>
      <w:proofErr w:type="spellEnd"/>
      <w:r>
        <w:t xml:space="preserve">, I. (2018). Russian scholarly publications in Anglophone academic discourse: The clash of tyrannosaurs. </w:t>
      </w:r>
      <w:r>
        <w:rPr>
          <w:i/>
          <w:iCs/>
        </w:rPr>
        <w:t>Integration of Education</w:t>
      </w:r>
      <w:r w:rsidR="006664B1">
        <w:rPr>
          <w:iCs/>
        </w:rPr>
        <w:t>,</w:t>
      </w:r>
      <w:r>
        <w:rPr>
          <w:i/>
          <w:iCs/>
        </w:rPr>
        <w:t xml:space="preserve"> 22</w:t>
      </w:r>
      <w:r>
        <w:t>(2)</w:t>
      </w:r>
      <w:r w:rsidR="006664B1">
        <w:t>,</w:t>
      </w:r>
      <w:r>
        <w:t xml:space="preserve"> 311-23.</w:t>
      </w:r>
    </w:p>
    <w:p w14:paraId="6338DA66" w14:textId="2BB1E72C" w:rsidR="000369BA" w:rsidRDefault="006F7849" w:rsidP="00947CD8">
      <w:pPr>
        <w:ind w:left="720" w:hanging="720"/>
      </w:pPr>
      <w:r w:rsidRPr="006F7849">
        <w:t>Lillis, T</w:t>
      </w:r>
      <w:r w:rsidR="006664B1">
        <w:t>.,</w:t>
      </w:r>
      <w:r w:rsidRPr="006F7849">
        <w:t xml:space="preserve"> &amp; Curry, M. J. (2010). </w:t>
      </w:r>
      <w:r w:rsidRPr="00947CD8">
        <w:rPr>
          <w:i/>
        </w:rPr>
        <w:t>Academic writing in a global context: The politics and practices of publishing in English</w:t>
      </w:r>
      <w:r w:rsidRPr="006F7849">
        <w:t>. Routledge.</w:t>
      </w:r>
    </w:p>
    <w:p w14:paraId="59719F8E" w14:textId="4AD80E03" w:rsidR="003C5710" w:rsidRDefault="000369BA" w:rsidP="00947CD8">
      <w:pPr>
        <w:ind w:left="720" w:hanging="720"/>
      </w:pPr>
      <w:proofErr w:type="spellStart"/>
      <w:r>
        <w:t>Muchiri</w:t>
      </w:r>
      <w:proofErr w:type="spellEnd"/>
      <w:r>
        <w:t>, M</w:t>
      </w:r>
      <w:r w:rsidR="006664B1">
        <w:t xml:space="preserve">. </w:t>
      </w:r>
      <w:r>
        <w:t xml:space="preserve">N., </w:t>
      </w:r>
      <w:proofErr w:type="spellStart"/>
      <w:r>
        <w:t>Mulamba</w:t>
      </w:r>
      <w:proofErr w:type="spellEnd"/>
      <w:r>
        <w:t>, N</w:t>
      </w:r>
      <w:r w:rsidR="006664B1">
        <w:t xml:space="preserve">. </w:t>
      </w:r>
      <w:r>
        <w:t xml:space="preserve">G., Myers, G., &amp; </w:t>
      </w:r>
      <w:proofErr w:type="spellStart"/>
      <w:r>
        <w:t>Ndoloi</w:t>
      </w:r>
      <w:proofErr w:type="spellEnd"/>
      <w:r>
        <w:t>, D</w:t>
      </w:r>
      <w:r w:rsidR="006664B1">
        <w:t xml:space="preserve">. </w:t>
      </w:r>
      <w:r>
        <w:t xml:space="preserve">B. (1995). </w:t>
      </w:r>
      <w:r w:rsidR="003C5710">
        <w:t xml:space="preserve">Importing composition: Teaching and researching academic writing beyond North America. </w:t>
      </w:r>
      <w:r>
        <w:rPr>
          <w:i/>
          <w:iCs/>
        </w:rPr>
        <w:t>College Composition and Communication</w:t>
      </w:r>
      <w:r w:rsidR="006664B1">
        <w:rPr>
          <w:iCs/>
        </w:rPr>
        <w:t>,</w:t>
      </w:r>
      <w:r>
        <w:rPr>
          <w:i/>
          <w:iCs/>
        </w:rPr>
        <w:t xml:space="preserve"> 46</w:t>
      </w:r>
      <w:r>
        <w:t>(2)</w:t>
      </w:r>
      <w:r w:rsidR="006664B1">
        <w:t>,</w:t>
      </w:r>
      <w:r>
        <w:t xml:space="preserve"> 175-198.</w:t>
      </w:r>
    </w:p>
    <w:p w14:paraId="5D9E5F2E" w14:textId="416ECFC2" w:rsidR="00947CD8" w:rsidRPr="00947CD8" w:rsidRDefault="00947CD8" w:rsidP="00947CD8">
      <w:pPr>
        <w:ind w:left="720" w:hanging="720"/>
      </w:pPr>
      <w:r>
        <w:t xml:space="preserve">National Writing Centers Consortium. </w:t>
      </w:r>
      <w:r w:rsidRPr="00947CD8">
        <w:t>(</w:t>
      </w:r>
      <w:r>
        <w:t>n</w:t>
      </w:r>
      <w:r w:rsidRPr="00947CD8">
        <w:t>.</w:t>
      </w:r>
      <w:r>
        <w:t>d</w:t>
      </w:r>
      <w:r w:rsidRPr="00947CD8">
        <w:t xml:space="preserve">.) </w:t>
      </w:r>
      <w:r>
        <w:rPr>
          <w:lang w:val="ru-RU"/>
        </w:rPr>
        <w:t>Члены</w:t>
      </w:r>
      <w:r w:rsidRPr="00947CD8">
        <w:t xml:space="preserve"> </w:t>
      </w:r>
      <w:r>
        <w:rPr>
          <w:lang w:val="ru-RU"/>
        </w:rPr>
        <w:t>ассоциации</w:t>
      </w:r>
      <w:r w:rsidRPr="00947CD8">
        <w:t xml:space="preserve"> [</w:t>
      </w:r>
      <w:r>
        <w:t xml:space="preserve">Association members]. National Writing Centers Consortium. </w:t>
      </w:r>
      <w:r w:rsidRPr="00947CD8">
        <w:t>https://nwcc-consortium.ru/participants/</w:t>
      </w:r>
    </w:p>
    <w:p w14:paraId="23B7E5A9" w14:textId="77777777" w:rsidR="00947CD8" w:rsidRDefault="00947CD8" w:rsidP="00947CD8">
      <w:pPr>
        <w:ind w:left="720" w:hanging="720"/>
      </w:pPr>
      <w:proofErr w:type="spellStart"/>
      <w:r>
        <w:t>Rajakumar</w:t>
      </w:r>
      <w:proofErr w:type="spellEnd"/>
      <w:r w:rsidRPr="00815B22">
        <w:t xml:space="preserve">, </w:t>
      </w:r>
      <w:r>
        <w:t>M</w:t>
      </w:r>
      <w:r w:rsidRPr="00815B22">
        <w:t xml:space="preserve">. (2018). </w:t>
      </w:r>
      <w:r>
        <w:rPr>
          <w:i/>
          <w:iCs/>
        </w:rPr>
        <w:t xml:space="preserve">Western higher education in global contexts. </w:t>
      </w:r>
      <w:r>
        <w:t xml:space="preserve">Lexington. </w:t>
      </w:r>
    </w:p>
    <w:p w14:paraId="325C8DC7" w14:textId="7B158E8F" w:rsidR="00947CD8" w:rsidRDefault="00947CD8" w:rsidP="00947CD8">
      <w:pPr>
        <w:ind w:left="720" w:hanging="720"/>
      </w:pPr>
      <w:r>
        <w:t xml:space="preserve">Samara Academic Consultancy Center. (n.d.) Welcome to Samara Academic Consultancy Center. Samara University. </w:t>
      </w:r>
      <w:r w:rsidRPr="00947CD8">
        <w:t>http://en.sacc.ssau.ru/</w:t>
      </w:r>
    </w:p>
    <w:p w14:paraId="4CB5B6AD" w14:textId="76082ED7" w:rsidR="00F32440" w:rsidRPr="00F32440" w:rsidRDefault="003C5710" w:rsidP="00947CD8">
      <w:pPr>
        <w:ind w:left="720" w:hanging="720"/>
      </w:pPr>
      <w:proofErr w:type="spellStart"/>
      <w:r>
        <w:t>Thaiss</w:t>
      </w:r>
      <w:proofErr w:type="spellEnd"/>
      <w:r>
        <w:t xml:space="preserve">, C., </w:t>
      </w:r>
      <w:proofErr w:type="spellStart"/>
      <w:r>
        <w:t>Brauer</w:t>
      </w:r>
      <w:proofErr w:type="spellEnd"/>
      <w:r>
        <w:t xml:space="preserve">, G., </w:t>
      </w:r>
      <w:proofErr w:type="spellStart"/>
      <w:r>
        <w:t>Carlino</w:t>
      </w:r>
      <w:proofErr w:type="spellEnd"/>
      <w:r>
        <w:t xml:space="preserve">, P., </w:t>
      </w:r>
      <w:proofErr w:type="spellStart"/>
      <w:r>
        <w:t>Ganobcsik</w:t>
      </w:r>
      <w:proofErr w:type="spellEnd"/>
      <w:r>
        <w:t xml:space="preserve">-Williams, L., &amp; Sinha, A. (2012). </w:t>
      </w:r>
      <w:r>
        <w:rPr>
          <w:i/>
          <w:iCs/>
        </w:rPr>
        <w:t xml:space="preserve">Writing </w:t>
      </w:r>
      <w:r w:rsidR="006664B1">
        <w:rPr>
          <w:i/>
          <w:iCs/>
        </w:rPr>
        <w:t>p</w:t>
      </w:r>
      <w:r>
        <w:rPr>
          <w:i/>
          <w:iCs/>
        </w:rPr>
        <w:t xml:space="preserve">rograms </w:t>
      </w:r>
      <w:r w:rsidR="006664B1">
        <w:rPr>
          <w:i/>
          <w:iCs/>
        </w:rPr>
        <w:t>w</w:t>
      </w:r>
      <w:r>
        <w:rPr>
          <w:i/>
          <w:iCs/>
        </w:rPr>
        <w:t xml:space="preserve">orldwide: Profiles of </w:t>
      </w:r>
      <w:r w:rsidR="006664B1">
        <w:rPr>
          <w:i/>
          <w:iCs/>
        </w:rPr>
        <w:t>a</w:t>
      </w:r>
      <w:r>
        <w:rPr>
          <w:i/>
          <w:iCs/>
        </w:rPr>
        <w:t xml:space="preserve">cademic </w:t>
      </w:r>
      <w:r w:rsidR="006664B1">
        <w:rPr>
          <w:i/>
          <w:iCs/>
        </w:rPr>
        <w:t>w</w:t>
      </w:r>
      <w:r>
        <w:rPr>
          <w:i/>
          <w:iCs/>
        </w:rPr>
        <w:t xml:space="preserve">riting in </w:t>
      </w:r>
      <w:r w:rsidR="006664B1">
        <w:rPr>
          <w:i/>
          <w:iCs/>
        </w:rPr>
        <w:t>m</w:t>
      </w:r>
      <w:r>
        <w:rPr>
          <w:i/>
          <w:iCs/>
        </w:rPr>
        <w:t xml:space="preserve">any </w:t>
      </w:r>
      <w:r w:rsidR="006664B1">
        <w:rPr>
          <w:i/>
          <w:iCs/>
        </w:rPr>
        <w:t>p</w:t>
      </w:r>
      <w:r>
        <w:rPr>
          <w:i/>
          <w:iCs/>
        </w:rPr>
        <w:t xml:space="preserve">laces. </w:t>
      </w:r>
      <w:r>
        <w:t>WAC Clearinghouse.</w:t>
      </w:r>
    </w:p>
    <w:p w14:paraId="5F57C18C" w14:textId="72FA6AEA" w:rsidR="00B36BDA" w:rsidRPr="006F7849" w:rsidRDefault="006F7849" w:rsidP="00947CD8">
      <w:pPr>
        <w:ind w:left="720" w:hanging="720"/>
      </w:pPr>
      <w:proofErr w:type="spellStart"/>
      <w:r>
        <w:t>Zemliansky</w:t>
      </w:r>
      <w:proofErr w:type="spellEnd"/>
      <w:r>
        <w:t>, P</w:t>
      </w:r>
      <w:r w:rsidR="006664B1">
        <w:t>.,</w:t>
      </w:r>
      <w:r>
        <w:t xml:space="preserve"> &amp; St. </w:t>
      </w:r>
      <w:proofErr w:type="spellStart"/>
      <w:r>
        <w:t>Amant</w:t>
      </w:r>
      <w:proofErr w:type="spellEnd"/>
      <w:r>
        <w:t xml:space="preserve">, K. (2016). </w:t>
      </w:r>
      <w:r>
        <w:rPr>
          <w:i/>
          <w:iCs/>
        </w:rPr>
        <w:t xml:space="preserve">Rethinking </w:t>
      </w:r>
      <w:r w:rsidR="006664B1">
        <w:rPr>
          <w:i/>
          <w:iCs/>
        </w:rPr>
        <w:t>p</w:t>
      </w:r>
      <w:r>
        <w:rPr>
          <w:i/>
          <w:iCs/>
        </w:rPr>
        <w:t>ost-</w:t>
      </w:r>
      <w:r w:rsidR="006664B1">
        <w:rPr>
          <w:i/>
          <w:iCs/>
        </w:rPr>
        <w:t>c</w:t>
      </w:r>
      <w:r>
        <w:rPr>
          <w:i/>
          <w:iCs/>
        </w:rPr>
        <w:t xml:space="preserve">ommunist </w:t>
      </w:r>
      <w:r w:rsidR="006664B1">
        <w:rPr>
          <w:i/>
          <w:iCs/>
        </w:rPr>
        <w:t>r</w:t>
      </w:r>
      <w:r>
        <w:rPr>
          <w:i/>
          <w:iCs/>
        </w:rPr>
        <w:t xml:space="preserve">hetoric: Perspectives on </w:t>
      </w:r>
      <w:r w:rsidR="006664B1">
        <w:rPr>
          <w:i/>
          <w:iCs/>
        </w:rPr>
        <w:t>r</w:t>
      </w:r>
      <w:r>
        <w:rPr>
          <w:i/>
          <w:iCs/>
        </w:rPr>
        <w:t xml:space="preserve">hetoric, </w:t>
      </w:r>
      <w:r w:rsidR="006664B1">
        <w:rPr>
          <w:i/>
          <w:iCs/>
        </w:rPr>
        <w:t>w</w:t>
      </w:r>
      <w:r>
        <w:rPr>
          <w:i/>
          <w:iCs/>
        </w:rPr>
        <w:t xml:space="preserve">riting, and </w:t>
      </w:r>
      <w:r w:rsidR="006664B1">
        <w:rPr>
          <w:i/>
          <w:iCs/>
        </w:rPr>
        <w:t>p</w:t>
      </w:r>
      <w:r>
        <w:rPr>
          <w:i/>
          <w:iCs/>
        </w:rPr>
        <w:t xml:space="preserve">rofessional </w:t>
      </w:r>
      <w:r w:rsidR="006664B1">
        <w:rPr>
          <w:i/>
          <w:iCs/>
        </w:rPr>
        <w:t>c</w:t>
      </w:r>
      <w:r>
        <w:rPr>
          <w:i/>
          <w:iCs/>
        </w:rPr>
        <w:t xml:space="preserve">ommunication in </w:t>
      </w:r>
      <w:r w:rsidR="006664B1">
        <w:rPr>
          <w:i/>
          <w:iCs/>
        </w:rPr>
        <w:t>p</w:t>
      </w:r>
      <w:r>
        <w:rPr>
          <w:i/>
          <w:iCs/>
        </w:rPr>
        <w:t xml:space="preserve">ost-Soviet </w:t>
      </w:r>
      <w:r w:rsidR="006664B1">
        <w:rPr>
          <w:i/>
          <w:iCs/>
        </w:rPr>
        <w:t>s</w:t>
      </w:r>
      <w:r>
        <w:rPr>
          <w:i/>
          <w:iCs/>
        </w:rPr>
        <w:t xml:space="preserve">paces. </w:t>
      </w:r>
      <w:r>
        <w:t xml:space="preserve">Lexington. </w:t>
      </w:r>
    </w:p>
    <w:p w14:paraId="703602B9" w14:textId="77777777" w:rsidR="000A4D2C" w:rsidRPr="002E05B0" w:rsidRDefault="000A4D2C" w:rsidP="00947CD8">
      <w:pPr>
        <w:ind w:left="720" w:hanging="720"/>
      </w:pPr>
    </w:p>
    <w:sectPr w:rsidR="000A4D2C" w:rsidRPr="002E05B0" w:rsidSect="00F70039">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8A059" w14:textId="77777777" w:rsidR="008A4DC0" w:rsidRDefault="008A4DC0" w:rsidP="006F7849">
      <w:r>
        <w:separator/>
      </w:r>
    </w:p>
  </w:endnote>
  <w:endnote w:type="continuationSeparator" w:id="0">
    <w:p w14:paraId="4D21DE20" w14:textId="77777777" w:rsidR="008A4DC0" w:rsidRDefault="008A4DC0" w:rsidP="006F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1E94" w14:textId="77777777" w:rsidR="007E2879" w:rsidRDefault="007E2879" w:rsidP="00AC061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2AE055" w14:textId="77777777" w:rsidR="007E2879" w:rsidRDefault="007E2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E2F5" w14:textId="77777777" w:rsidR="007E2879" w:rsidRPr="00947CD8" w:rsidRDefault="007E2879" w:rsidP="00AC0613">
    <w:pPr>
      <w:pStyle w:val="Footer"/>
      <w:framePr w:wrap="none" w:vAnchor="text" w:hAnchor="margin" w:xAlign="center" w:y="1"/>
      <w:rPr>
        <w:rStyle w:val="PageNumber"/>
        <w:rFonts w:ascii="Times New Roman" w:hAnsi="Times New Roman" w:cs="Times New Roman"/>
      </w:rPr>
    </w:pPr>
    <w:r w:rsidRPr="00947CD8">
      <w:rPr>
        <w:rStyle w:val="PageNumber"/>
        <w:rFonts w:ascii="Times New Roman" w:hAnsi="Times New Roman" w:cs="Times New Roman"/>
      </w:rPr>
      <w:fldChar w:fldCharType="begin"/>
    </w:r>
    <w:r w:rsidRPr="00947CD8">
      <w:rPr>
        <w:rStyle w:val="PageNumber"/>
        <w:rFonts w:ascii="Times New Roman" w:hAnsi="Times New Roman" w:cs="Times New Roman"/>
      </w:rPr>
      <w:instrText xml:space="preserve">PAGE  </w:instrText>
    </w:r>
    <w:r w:rsidRPr="00947CD8">
      <w:rPr>
        <w:rStyle w:val="PageNumber"/>
        <w:rFonts w:ascii="Times New Roman" w:hAnsi="Times New Roman" w:cs="Times New Roman"/>
      </w:rPr>
      <w:fldChar w:fldCharType="separate"/>
    </w:r>
    <w:r w:rsidR="001E3F69">
      <w:rPr>
        <w:rStyle w:val="PageNumber"/>
        <w:rFonts w:ascii="Times New Roman" w:hAnsi="Times New Roman" w:cs="Times New Roman"/>
        <w:noProof/>
      </w:rPr>
      <w:t>3</w:t>
    </w:r>
    <w:r w:rsidRPr="00947CD8">
      <w:rPr>
        <w:rStyle w:val="PageNumber"/>
        <w:rFonts w:ascii="Times New Roman" w:hAnsi="Times New Roman" w:cs="Times New Roman"/>
      </w:rPr>
      <w:fldChar w:fldCharType="end"/>
    </w:r>
  </w:p>
  <w:p w14:paraId="24A7090C" w14:textId="77777777" w:rsidR="007E2879" w:rsidRDefault="007E2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6786D" w14:textId="77777777" w:rsidR="008A4DC0" w:rsidRDefault="008A4DC0" w:rsidP="006F7849">
      <w:r>
        <w:separator/>
      </w:r>
    </w:p>
  </w:footnote>
  <w:footnote w:type="continuationSeparator" w:id="0">
    <w:p w14:paraId="2A279289" w14:textId="77777777" w:rsidR="008A4DC0" w:rsidRDefault="008A4DC0" w:rsidP="006F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4817312"/>
      <w:docPartObj>
        <w:docPartGallery w:val="Page Numbers (Top of Page)"/>
        <w:docPartUnique/>
      </w:docPartObj>
    </w:sdtPr>
    <w:sdtEndPr>
      <w:rPr>
        <w:rStyle w:val="PageNumber"/>
      </w:rPr>
    </w:sdtEndPr>
    <w:sdtContent>
      <w:p w14:paraId="70D40994" w14:textId="053DC312" w:rsidR="006F7849" w:rsidRDefault="006F7849" w:rsidP="008F62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A999E" w14:textId="77777777" w:rsidR="006F7849" w:rsidRDefault="006F7849" w:rsidP="006F78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A2235" w14:textId="3F2BEFDD" w:rsidR="006F7849" w:rsidRPr="003B665C" w:rsidRDefault="006F7849" w:rsidP="003B665C">
    <w:pPr>
      <w:pStyle w:val="Header"/>
      <w:framePr w:wrap="none" w:vAnchor="text" w:hAnchor="page" w:x="10713" w:y="9"/>
      <w:rPr>
        <w:rStyle w:val="PageNumber"/>
        <w:rFonts w:ascii="Times New Roman" w:hAnsi="Times New Roman" w:cs="Times New Roman"/>
      </w:rPr>
    </w:pPr>
  </w:p>
  <w:p w14:paraId="1E9E4B44" w14:textId="77777777" w:rsidR="006F7849" w:rsidRDefault="006F7849" w:rsidP="006F784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F4"/>
    <w:rsid w:val="000107D7"/>
    <w:rsid w:val="00011466"/>
    <w:rsid w:val="0001618A"/>
    <w:rsid w:val="00017EAF"/>
    <w:rsid w:val="000369BA"/>
    <w:rsid w:val="0004302C"/>
    <w:rsid w:val="000A4D2C"/>
    <w:rsid w:val="000D33B3"/>
    <w:rsid w:val="000F6BD4"/>
    <w:rsid w:val="00102775"/>
    <w:rsid w:val="001034B5"/>
    <w:rsid w:val="001527F8"/>
    <w:rsid w:val="00160FF8"/>
    <w:rsid w:val="001928B2"/>
    <w:rsid w:val="001B3D7D"/>
    <w:rsid w:val="001B4AB5"/>
    <w:rsid w:val="001B7E47"/>
    <w:rsid w:val="001C1733"/>
    <w:rsid w:val="001E3F69"/>
    <w:rsid w:val="00203F49"/>
    <w:rsid w:val="0021208D"/>
    <w:rsid w:val="00230AE3"/>
    <w:rsid w:val="00271E02"/>
    <w:rsid w:val="00284ABC"/>
    <w:rsid w:val="0029342B"/>
    <w:rsid w:val="002960AF"/>
    <w:rsid w:val="002A4BD7"/>
    <w:rsid w:val="002E05B0"/>
    <w:rsid w:val="002E6AB2"/>
    <w:rsid w:val="002F7D4C"/>
    <w:rsid w:val="003015D7"/>
    <w:rsid w:val="00304FF0"/>
    <w:rsid w:val="00311205"/>
    <w:rsid w:val="00312672"/>
    <w:rsid w:val="003444A9"/>
    <w:rsid w:val="00356CC1"/>
    <w:rsid w:val="003640C0"/>
    <w:rsid w:val="0037534B"/>
    <w:rsid w:val="00380C22"/>
    <w:rsid w:val="00381172"/>
    <w:rsid w:val="003B665C"/>
    <w:rsid w:val="003C286A"/>
    <w:rsid w:val="003C5710"/>
    <w:rsid w:val="003F4B22"/>
    <w:rsid w:val="00400972"/>
    <w:rsid w:val="004329D2"/>
    <w:rsid w:val="004441AC"/>
    <w:rsid w:val="00450930"/>
    <w:rsid w:val="00467B5F"/>
    <w:rsid w:val="00487AFD"/>
    <w:rsid w:val="004A6ABF"/>
    <w:rsid w:val="004B29A9"/>
    <w:rsid w:val="004F6C6F"/>
    <w:rsid w:val="00513E07"/>
    <w:rsid w:val="005331EC"/>
    <w:rsid w:val="00572F04"/>
    <w:rsid w:val="00576C88"/>
    <w:rsid w:val="005B2BE3"/>
    <w:rsid w:val="00631229"/>
    <w:rsid w:val="00645371"/>
    <w:rsid w:val="00647D9A"/>
    <w:rsid w:val="006657CD"/>
    <w:rsid w:val="006664B1"/>
    <w:rsid w:val="00676B55"/>
    <w:rsid w:val="0068616E"/>
    <w:rsid w:val="006A21FD"/>
    <w:rsid w:val="006A3DEA"/>
    <w:rsid w:val="006E2895"/>
    <w:rsid w:val="006F7849"/>
    <w:rsid w:val="00712907"/>
    <w:rsid w:val="00712B8B"/>
    <w:rsid w:val="00721597"/>
    <w:rsid w:val="00725A67"/>
    <w:rsid w:val="00751B1D"/>
    <w:rsid w:val="007807BA"/>
    <w:rsid w:val="007B1844"/>
    <w:rsid w:val="007B52EB"/>
    <w:rsid w:val="007C0DAC"/>
    <w:rsid w:val="007D09C5"/>
    <w:rsid w:val="007E2879"/>
    <w:rsid w:val="007E3C3C"/>
    <w:rsid w:val="00815B22"/>
    <w:rsid w:val="008171EA"/>
    <w:rsid w:val="008324D2"/>
    <w:rsid w:val="00835041"/>
    <w:rsid w:val="0084185A"/>
    <w:rsid w:val="00896B79"/>
    <w:rsid w:val="008A04E2"/>
    <w:rsid w:val="008A4DC0"/>
    <w:rsid w:val="008B3D1E"/>
    <w:rsid w:val="008D1CB6"/>
    <w:rsid w:val="00910414"/>
    <w:rsid w:val="00917C14"/>
    <w:rsid w:val="009218F4"/>
    <w:rsid w:val="00947CD8"/>
    <w:rsid w:val="00950BA6"/>
    <w:rsid w:val="00956178"/>
    <w:rsid w:val="00962447"/>
    <w:rsid w:val="009B6881"/>
    <w:rsid w:val="009E7505"/>
    <w:rsid w:val="00A01032"/>
    <w:rsid w:val="00A01184"/>
    <w:rsid w:val="00A01BF3"/>
    <w:rsid w:val="00A14BAC"/>
    <w:rsid w:val="00A2071C"/>
    <w:rsid w:val="00A251F8"/>
    <w:rsid w:val="00A323B0"/>
    <w:rsid w:val="00A6523D"/>
    <w:rsid w:val="00A97BB2"/>
    <w:rsid w:val="00B011A6"/>
    <w:rsid w:val="00B17299"/>
    <w:rsid w:val="00B27400"/>
    <w:rsid w:val="00B36BDA"/>
    <w:rsid w:val="00B536C7"/>
    <w:rsid w:val="00BC21EC"/>
    <w:rsid w:val="00BD0BB7"/>
    <w:rsid w:val="00C21E52"/>
    <w:rsid w:val="00C317F2"/>
    <w:rsid w:val="00C44BAC"/>
    <w:rsid w:val="00C55AA2"/>
    <w:rsid w:val="00C83469"/>
    <w:rsid w:val="00C95982"/>
    <w:rsid w:val="00CB314E"/>
    <w:rsid w:val="00D30D56"/>
    <w:rsid w:val="00D4100F"/>
    <w:rsid w:val="00D71036"/>
    <w:rsid w:val="00D87DD0"/>
    <w:rsid w:val="00DA0608"/>
    <w:rsid w:val="00DA1EC8"/>
    <w:rsid w:val="00DC49EA"/>
    <w:rsid w:val="00DD562B"/>
    <w:rsid w:val="00DE1247"/>
    <w:rsid w:val="00DE7279"/>
    <w:rsid w:val="00E12EE8"/>
    <w:rsid w:val="00E47779"/>
    <w:rsid w:val="00E63AA9"/>
    <w:rsid w:val="00EB0BE9"/>
    <w:rsid w:val="00EC63E5"/>
    <w:rsid w:val="00EF5A15"/>
    <w:rsid w:val="00F16D32"/>
    <w:rsid w:val="00F255AC"/>
    <w:rsid w:val="00F32440"/>
    <w:rsid w:val="00F32DBC"/>
    <w:rsid w:val="00F44685"/>
    <w:rsid w:val="00F6788F"/>
    <w:rsid w:val="00F70039"/>
    <w:rsid w:val="00F837FA"/>
    <w:rsid w:val="00FD5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AEC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7C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9C5"/>
    <w:rPr>
      <w:rFonts w:eastAsiaTheme="minorEastAsia"/>
      <w:sz w:val="18"/>
      <w:szCs w:val="18"/>
    </w:rPr>
  </w:style>
  <w:style w:type="character" w:customStyle="1" w:styleId="BalloonTextChar">
    <w:name w:val="Balloon Text Char"/>
    <w:basedOn w:val="DefaultParagraphFont"/>
    <w:link w:val="BalloonText"/>
    <w:uiPriority w:val="99"/>
    <w:semiHidden/>
    <w:rsid w:val="007D09C5"/>
    <w:rPr>
      <w:rFonts w:ascii="Times New Roman" w:hAnsi="Times New Roman" w:cs="Times New Roman"/>
      <w:sz w:val="18"/>
      <w:szCs w:val="18"/>
    </w:rPr>
  </w:style>
  <w:style w:type="character" w:styleId="Hyperlink">
    <w:name w:val="Hyperlink"/>
    <w:basedOn w:val="DefaultParagraphFont"/>
    <w:uiPriority w:val="99"/>
    <w:unhideWhenUsed/>
    <w:rsid w:val="00F32440"/>
    <w:rPr>
      <w:color w:val="0563C1" w:themeColor="hyperlink"/>
      <w:u w:val="single"/>
    </w:rPr>
  </w:style>
  <w:style w:type="character" w:customStyle="1" w:styleId="UnresolvedMention1">
    <w:name w:val="Unresolved Mention1"/>
    <w:basedOn w:val="DefaultParagraphFont"/>
    <w:uiPriority w:val="99"/>
    <w:rsid w:val="00F32440"/>
    <w:rPr>
      <w:color w:val="605E5C"/>
      <w:shd w:val="clear" w:color="auto" w:fill="E1DFDD"/>
    </w:rPr>
  </w:style>
  <w:style w:type="character" w:styleId="CommentReference">
    <w:name w:val="annotation reference"/>
    <w:basedOn w:val="DefaultParagraphFont"/>
    <w:uiPriority w:val="99"/>
    <w:semiHidden/>
    <w:unhideWhenUsed/>
    <w:rsid w:val="00572F04"/>
    <w:rPr>
      <w:sz w:val="16"/>
      <w:szCs w:val="16"/>
    </w:rPr>
  </w:style>
  <w:style w:type="paragraph" w:styleId="CommentText">
    <w:name w:val="annotation text"/>
    <w:basedOn w:val="Normal"/>
    <w:link w:val="CommentTextChar"/>
    <w:uiPriority w:val="99"/>
    <w:semiHidden/>
    <w:unhideWhenUsed/>
    <w:rsid w:val="00572F04"/>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572F04"/>
    <w:rPr>
      <w:sz w:val="20"/>
      <w:szCs w:val="20"/>
    </w:rPr>
  </w:style>
  <w:style w:type="paragraph" w:styleId="CommentSubject">
    <w:name w:val="annotation subject"/>
    <w:basedOn w:val="CommentText"/>
    <w:next w:val="CommentText"/>
    <w:link w:val="CommentSubjectChar"/>
    <w:uiPriority w:val="99"/>
    <w:semiHidden/>
    <w:unhideWhenUsed/>
    <w:rsid w:val="00572F04"/>
    <w:rPr>
      <w:b/>
      <w:bCs/>
    </w:rPr>
  </w:style>
  <w:style w:type="character" w:customStyle="1" w:styleId="CommentSubjectChar">
    <w:name w:val="Comment Subject Char"/>
    <w:basedOn w:val="CommentTextChar"/>
    <w:link w:val="CommentSubject"/>
    <w:uiPriority w:val="99"/>
    <w:semiHidden/>
    <w:rsid w:val="00572F04"/>
    <w:rPr>
      <w:b/>
      <w:bCs/>
      <w:sz w:val="20"/>
      <w:szCs w:val="20"/>
    </w:rPr>
  </w:style>
  <w:style w:type="paragraph" w:styleId="Header">
    <w:name w:val="header"/>
    <w:basedOn w:val="Normal"/>
    <w:link w:val="HeaderChar"/>
    <w:uiPriority w:val="99"/>
    <w:unhideWhenUsed/>
    <w:rsid w:val="006F784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F7849"/>
  </w:style>
  <w:style w:type="character" w:styleId="PageNumber">
    <w:name w:val="page number"/>
    <w:basedOn w:val="DefaultParagraphFont"/>
    <w:uiPriority w:val="99"/>
    <w:semiHidden/>
    <w:unhideWhenUsed/>
    <w:rsid w:val="006F7849"/>
  </w:style>
  <w:style w:type="paragraph" w:styleId="Footer">
    <w:name w:val="footer"/>
    <w:basedOn w:val="Normal"/>
    <w:link w:val="FooterChar"/>
    <w:uiPriority w:val="99"/>
    <w:unhideWhenUsed/>
    <w:rsid w:val="003B665C"/>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B665C"/>
  </w:style>
  <w:style w:type="paragraph" w:styleId="Revision">
    <w:name w:val="Revision"/>
    <w:hidden/>
    <w:uiPriority w:val="99"/>
    <w:semiHidden/>
    <w:rsid w:val="0094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9201">
      <w:bodyDiv w:val="1"/>
      <w:marLeft w:val="0"/>
      <w:marRight w:val="0"/>
      <w:marTop w:val="0"/>
      <w:marBottom w:val="0"/>
      <w:divBdr>
        <w:top w:val="none" w:sz="0" w:space="0" w:color="auto"/>
        <w:left w:val="none" w:sz="0" w:space="0" w:color="auto"/>
        <w:bottom w:val="none" w:sz="0" w:space="0" w:color="auto"/>
        <w:right w:val="none" w:sz="0" w:space="0" w:color="auto"/>
      </w:divBdr>
    </w:div>
    <w:div w:id="574163518">
      <w:bodyDiv w:val="1"/>
      <w:marLeft w:val="0"/>
      <w:marRight w:val="0"/>
      <w:marTop w:val="0"/>
      <w:marBottom w:val="0"/>
      <w:divBdr>
        <w:top w:val="none" w:sz="0" w:space="0" w:color="auto"/>
        <w:left w:val="none" w:sz="0" w:space="0" w:color="auto"/>
        <w:bottom w:val="none" w:sz="0" w:space="0" w:color="auto"/>
        <w:right w:val="none" w:sz="0" w:space="0" w:color="auto"/>
      </w:divBdr>
    </w:div>
    <w:div w:id="666984857">
      <w:bodyDiv w:val="1"/>
      <w:marLeft w:val="0"/>
      <w:marRight w:val="0"/>
      <w:marTop w:val="0"/>
      <w:marBottom w:val="0"/>
      <w:divBdr>
        <w:top w:val="none" w:sz="0" w:space="0" w:color="auto"/>
        <w:left w:val="none" w:sz="0" w:space="0" w:color="auto"/>
        <w:bottom w:val="none" w:sz="0" w:space="0" w:color="auto"/>
        <w:right w:val="none" w:sz="0" w:space="0" w:color="auto"/>
      </w:divBdr>
    </w:div>
    <w:div w:id="699401765">
      <w:bodyDiv w:val="1"/>
      <w:marLeft w:val="0"/>
      <w:marRight w:val="0"/>
      <w:marTop w:val="0"/>
      <w:marBottom w:val="0"/>
      <w:divBdr>
        <w:top w:val="none" w:sz="0" w:space="0" w:color="auto"/>
        <w:left w:val="none" w:sz="0" w:space="0" w:color="auto"/>
        <w:bottom w:val="none" w:sz="0" w:space="0" w:color="auto"/>
        <w:right w:val="none" w:sz="0" w:space="0" w:color="auto"/>
      </w:divBdr>
    </w:div>
    <w:div w:id="768427340">
      <w:bodyDiv w:val="1"/>
      <w:marLeft w:val="0"/>
      <w:marRight w:val="0"/>
      <w:marTop w:val="0"/>
      <w:marBottom w:val="0"/>
      <w:divBdr>
        <w:top w:val="none" w:sz="0" w:space="0" w:color="auto"/>
        <w:left w:val="none" w:sz="0" w:space="0" w:color="auto"/>
        <w:bottom w:val="none" w:sz="0" w:space="0" w:color="auto"/>
        <w:right w:val="none" w:sz="0" w:space="0" w:color="auto"/>
      </w:divBdr>
      <w:divsChild>
        <w:div w:id="470781">
          <w:marLeft w:val="0"/>
          <w:marRight w:val="0"/>
          <w:marTop w:val="0"/>
          <w:marBottom w:val="0"/>
          <w:divBdr>
            <w:top w:val="none" w:sz="0" w:space="0" w:color="auto"/>
            <w:left w:val="none" w:sz="0" w:space="0" w:color="auto"/>
            <w:bottom w:val="none" w:sz="0" w:space="0" w:color="auto"/>
            <w:right w:val="none" w:sz="0" w:space="0" w:color="auto"/>
          </w:divBdr>
        </w:div>
      </w:divsChild>
    </w:div>
    <w:div w:id="832720946">
      <w:bodyDiv w:val="1"/>
      <w:marLeft w:val="0"/>
      <w:marRight w:val="0"/>
      <w:marTop w:val="0"/>
      <w:marBottom w:val="0"/>
      <w:divBdr>
        <w:top w:val="none" w:sz="0" w:space="0" w:color="auto"/>
        <w:left w:val="none" w:sz="0" w:space="0" w:color="auto"/>
        <w:bottom w:val="none" w:sz="0" w:space="0" w:color="auto"/>
        <w:right w:val="none" w:sz="0" w:space="0" w:color="auto"/>
      </w:divBdr>
    </w:div>
    <w:div w:id="921135391">
      <w:bodyDiv w:val="1"/>
      <w:marLeft w:val="0"/>
      <w:marRight w:val="0"/>
      <w:marTop w:val="0"/>
      <w:marBottom w:val="0"/>
      <w:divBdr>
        <w:top w:val="none" w:sz="0" w:space="0" w:color="auto"/>
        <w:left w:val="none" w:sz="0" w:space="0" w:color="auto"/>
        <w:bottom w:val="none" w:sz="0" w:space="0" w:color="auto"/>
        <w:right w:val="none" w:sz="0" w:space="0" w:color="auto"/>
      </w:divBdr>
    </w:div>
    <w:div w:id="952126011">
      <w:bodyDiv w:val="1"/>
      <w:marLeft w:val="0"/>
      <w:marRight w:val="0"/>
      <w:marTop w:val="0"/>
      <w:marBottom w:val="0"/>
      <w:divBdr>
        <w:top w:val="none" w:sz="0" w:space="0" w:color="auto"/>
        <w:left w:val="none" w:sz="0" w:space="0" w:color="auto"/>
        <w:bottom w:val="none" w:sz="0" w:space="0" w:color="auto"/>
        <w:right w:val="none" w:sz="0" w:space="0" w:color="auto"/>
      </w:divBdr>
    </w:div>
    <w:div w:id="1133055736">
      <w:bodyDiv w:val="1"/>
      <w:marLeft w:val="0"/>
      <w:marRight w:val="0"/>
      <w:marTop w:val="0"/>
      <w:marBottom w:val="0"/>
      <w:divBdr>
        <w:top w:val="none" w:sz="0" w:space="0" w:color="auto"/>
        <w:left w:val="none" w:sz="0" w:space="0" w:color="auto"/>
        <w:bottom w:val="none" w:sz="0" w:space="0" w:color="auto"/>
        <w:right w:val="none" w:sz="0" w:space="0" w:color="auto"/>
      </w:divBdr>
    </w:div>
    <w:div w:id="1202549803">
      <w:bodyDiv w:val="1"/>
      <w:marLeft w:val="0"/>
      <w:marRight w:val="0"/>
      <w:marTop w:val="0"/>
      <w:marBottom w:val="0"/>
      <w:divBdr>
        <w:top w:val="none" w:sz="0" w:space="0" w:color="auto"/>
        <w:left w:val="none" w:sz="0" w:space="0" w:color="auto"/>
        <w:bottom w:val="none" w:sz="0" w:space="0" w:color="auto"/>
        <w:right w:val="none" w:sz="0" w:space="0" w:color="auto"/>
      </w:divBdr>
    </w:div>
    <w:div w:id="1398938056">
      <w:bodyDiv w:val="1"/>
      <w:marLeft w:val="0"/>
      <w:marRight w:val="0"/>
      <w:marTop w:val="0"/>
      <w:marBottom w:val="0"/>
      <w:divBdr>
        <w:top w:val="none" w:sz="0" w:space="0" w:color="auto"/>
        <w:left w:val="none" w:sz="0" w:space="0" w:color="auto"/>
        <w:bottom w:val="none" w:sz="0" w:space="0" w:color="auto"/>
        <w:right w:val="none" w:sz="0" w:space="0" w:color="auto"/>
      </w:divBdr>
    </w:div>
    <w:div w:id="1443527019">
      <w:bodyDiv w:val="1"/>
      <w:marLeft w:val="0"/>
      <w:marRight w:val="0"/>
      <w:marTop w:val="0"/>
      <w:marBottom w:val="0"/>
      <w:divBdr>
        <w:top w:val="none" w:sz="0" w:space="0" w:color="auto"/>
        <w:left w:val="none" w:sz="0" w:space="0" w:color="auto"/>
        <w:bottom w:val="none" w:sz="0" w:space="0" w:color="auto"/>
        <w:right w:val="none" w:sz="0" w:space="0" w:color="auto"/>
      </w:divBdr>
    </w:div>
    <w:div w:id="1531917142">
      <w:bodyDiv w:val="1"/>
      <w:marLeft w:val="0"/>
      <w:marRight w:val="0"/>
      <w:marTop w:val="0"/>
      <w:marBottom w:val="0"/>
      <w:divBdr>
        <w:top w:val="none" w:sz="0" w:space="0" w:color="auto"/>
        <w:left w:val="none" w:sz="0" w:space="0" w:color="auto"/>
        <w:bottom w:val="none" w:sz="0" w:space="0" w:color="auto"/>
        <w:right w:val="none" w:sz="0" w:space="0" w:color="auto"/>
      </w:divBdr>
    </w:div>
    <w:div w:id="1610307797">
      <w:bodyDiv w:val="1"/>
      <w:marLeft w:val="0"/>
      <w:marRight w:val="0"/>
      <w:marTop w:val="0"/>
      <w:marBottom w:val="0"/>
      <w:divBdr>
        <w:top w:val="none" w:sz="0" w:space="0" w:color="auto"/>
        <w:left w:val="none" w:sz="0" w:space="0" w:color="auto"/>
        <w:bottom w:val="none" w:sz="0" w:space="0" w:color="auto"/>
        <w:right w:val="none" w:sz="0" w:space="0" w:color="auto"/>
      </w:divBdr>
    </w:div>
    <w:div w:id="1648172015">
      <w:bodyDiv w:val="1"/>
      <w:marLeft w:val="0"/>
      <w:marRight w:val="0"/>
      <w:marTop w:val="0"/>
      <w:marBottom w:val="0"/>
      <w:divBdr>
        <w:top w:val="none" w:sz="0" w:space="0" w:color="auto"/>
        <w:left w:val="none" w:sz="0" w:space="0" w:color="auto"/>
        <w:bottom w:val="none" w:sz="0" w:space="0" w:color="auto"/>
        <w:right w:val="none" w:sz="0" w:space="0" w:color="auto"/>
      </w:divBdr>
    </w:div>
    <w:div w:id="1658531375">
      <w:bodyDiv w:val="1"/>
      <w:marLeft w:val="0"/>
      <w:marRight w:val="0"/>
      <w:marTop w:val="0"/>
      <w:marBottom w:val="0"/>
      <w:divBdr>
        <w:top w:val="none" w:sz="0" w:space="0" w:color="auto"/>
        <w:left w:val="none" w:sz="0" w:space="0" w:color="auto"/>
        <w:bottom w:val="none" w:sz="0" w:space="0" w:color="auto"/>
        <w:right w:val="none" w:sz="0" w:space="0" w:color="auto"/>
      </w:divBdr>
    </w:div>
    <w:div w:id="2080059699">
      <w:bodyDiv w:val="1"/>
      <w:marLeft w:val="0"/>
      <w:marRight w:val="0"/>
      <w:marTop w:val="0"/>
      <w:marBottom w:val="0"/>
      <w:divBdr>
        <w:top w:val="none" w:sz="0" w:space="0" w:color="auto"/>
        <w:left w:val="none" w:sz="0" w:space="0" w:color="auto"/>
        <w:bottom w:val="none" w:sz="0" w:space="0" w:color="auto"/>
        <w:right w:val="none" w:sz="0" w:space="0" w:color="auto"/>
      </w:divBdr>
      <w:divsChild>
        <w:div w:id="1088499308">
          <w:marLeft w:val="0"/>
          <w:marRight w:val="0"/>
          <w:marTop w:val="0"/>
          <w:marBottom w:val="0"/>
          <w:divBdr>
            <w:top w:val="none" w:sz="0" w:space="0" w:color="auto"/>
            <w:left w:val="none" w:sz="0" w:space="0" w:color="auto"/>
            <w:bottom w:val="none" w:sz="0" w:space="0" w:color="auto"/>
            <w:right w:val="none" w:sz="0" w:space="0" w:color="auto"/>
          </w:divBdr>
        </w:div>
      </w:divsChild>
    </w:div>
    <w:div w:id="21326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C11C-EE6D-A247-AFB2-A5E62242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2020-12-07T15:15:00Z</dcterms:created>
  <dcterms:modified xsi:type="dcterms:W3CDTF">2021-04-10T13:49:00Z</dcterms:modified>
  <cp:category/>
</cp:coreProperties>
</file>